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70664" w:rsidRDefault="009E5745">
      <w:pPr>
        <w:spacing w:after="40"/>
      </w:pPr>
      <w:r>
        <w:rPr>
          <w:noProof/>
        </w:rPr>
        <w:drawing>
          <wp:inline distT="0" distB="0" distL="0" distR="0" wp14:anchorId="629E320E" wp14:editId="07777777">
            <wp:extent cx="2571750" cy="981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970664" w:rsidRDefault="00970664">
      <w:pPr>
        <w:pBdr>
          <w:bottom w:val="single" w:sz="8" w:space="1" w:color="C8A84B"/>
        </w:pBdr>
        <w:spacing w:after="200"/>
      </w:pPr>
    </w:p>
    <w:p w14:paraId="00F00F2A" w14:textId="76ECAA62" w:rsidR="00970664" w:rsidRDefault="009E5745">
      <w:pPr>
        <w:spacing w:before="160" w:after="60"/>
        <w:jc w:val="center"/>
      </w:pPr>
      <w:r w:rsidRPr="52571E2D">
        <w:rPr>
          <w:rFonts w:ascii="Calibri" w:eastAsia="Calibri" w:hAnsi="Calibri" w:cs="Calibri"/>
          <w:b/>
          <w:bCs/>
          <w:color w:val="1B2A4A"/>
          <w:sz w:val="44"/>
          <w:szCs w:val="44"/>
        </w:rPr>
        <w:t>DOWN MARKET PLAN</w:t>
      </w:r>
    </w:p>
    <w:p w14:paraId="07A94045" w14:textId="77777777" w:rsidR="00970664" w:rsidRDefault="009E5745">
      <w:pPr>
        <w:spacing w:after="280"/>
        <w:jc w:val="center"/>
      </w:pPr>
      <w:r>
        <w:rPr>
          <w:rFonts w:ascii="Calibri" w:eastAsia="Calibri" w:hAnsi="Calibri" w:cs="Calibri"/>
          <w:i/>
          <w:iCs/>
          <w:color w:val="6B7B8D"/>
          <w:sz w:val="22"/>
          <w:szCs w:val="22"/>
        </w:rPr>
        <w:t>Proactive strategies at each market decline threshold</w:t>
      </w:r>
    </w:p>
    <w:tbl>
      <w:tblPr>
        <w:tblW w:w="100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8280"/>
      </w:tblGrid>
      <w:tr w:rsidR="00970664" w14:paraId="3582FC7E" w14:textId="77777777" w:rsidTr="52571E2D">
        <w:trPr>
          <w:tblHeader/>
        </w:trPr>
        <w:tc>
          <w:tcPr>
            <w:tcW w:w="1800" w:type="dxa"/>
            <w:tcBorders>
              <w:top w:val="single" w:sz="1" w:space="0" w:color="1B2A4A"/>
              <w:left w:val="single" w:sz="1" w:space="0" w:color="1B2A4A"/>
              <w:bottom w:val="single" w:sz="1" w:space="0" w:color="1B2A4A"/>
              <w:right w:val="single" w:sz="4" w:space="0" w:color="C8A84B"/>
            </w:tcBorders>
            <w:shd w:val="clear" w:color="auto" w:fill="1B2A4A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 w14:paraId="34C7AF52" w14:textId="77777777" w:rsidR="00970664" w:rsidRDefault="009E574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6"/>
                <w:szCs w:val="26"/>
              </w:rPr>
              <w:t>At This Decline…</w:t>
            </w:r>
          </w:p>
        </w:tc>
        <w:tc>
          <w:tcPr>
            <w:tcW w:w="8280" w:type="dxa"/>
            <w:tcBorders>
              <w:top w:val="single" w:sz="1" w:space="0" w:color="1B2A4A"/>
              <w:left w:val="single" w:sz="1" w:space="0" w:color="1B2A4A"/>
              <w:bottom w:val="single" w:sz="1" w:space="0" w:color="1B2A4A"/>
              <w:right w:val="single" w:sz="1" w:space="0" w:color="1B2A4A"/>
            </w:tcBorders>
            <w:shd w:val="clear" w:color="auto" w:fill="1B2A4A"/>
            <w:tcMar>
              <w:top w:w="160" w:type="dxa"/>
              <w:left w:w="280" w:type="dxa"/>
              <w:bottom w:w="160" w:type="dxa"/>
              <w:right w:w="200" w:type="dxa"/>
            </w:tcMar>
            <w:vAlign w:val="center"/>
          </w:tcPr>
          <w:p w14:paraId="051F2ACC" w14:textId="77777777" w:rsidR="00970664" w:rsidRDefault="009E5745">
            <w:r>
              <w:rPr>
                <w:rFonts w:ascii="Calibri" w:eastAsia="Calibri" w:hAnsi="Calibri" w:cs="Calibri"/>
                <w:b/>
                <w:bCs/>
                <w:color w:val="FFFFFF"/>
                <w:sz w:val="26"/>
                <w:szCs w:val="26"/>
              </w:rPr>
              <w:t>Consider This…</w:t>
            </w:r>
          </w:p>
        </w:tc>
      </w:tr>
      <w:tr w:rsidR="00970664" w14:paraId="125A8015" w14:textId="77777777" w:rsidTr="52571E2D">
        <w:tc>
          <w:tcPr>
            <w:tcW w:w="180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4" w:space="0" w:color="C8A84B"/>
            </w:tcBorders>
            <w:shd w:val="clear" w:color="auto" w:fill="E8EDF5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 w14:paraId="034A1C51" w14:textId="77777777" w:rsidR="00970664" w:rsidRDefault="009E574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A4A"/>
                <w:sz w:val="36"/>
                <w:szCs w:val="36"/>
              </w:rPr>
              <w:t>-5%</w:t>
            </w:r>
          </w:p>
        </w:tc>
        <w:tc>
          <w:tcPr>
            <w:tcW w:w="828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1" w:space="0" w:color="FFFFFF" w:themeColor="background1"/>
            </w:tcBorders>
            <w:shd w:val="clear" w:color="auto" w:fill="E8EDF5"/>
            <w:tcMar>
              <w:top w:w="160" w:type="dxa"/>
              <w:left w:w="280" w:type="dxa"/>
              <w:bottom w:w="160" w:type="dxa"/>
              <w:right w:w="200" w:type="dxa"/>
            </w:tcMar>
            <w:vAlign w:val="center"/>
          </w:tcPr>
          <w:p w14:paraId="7E66E419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Rebalance portfolios</w:t>
            </w:r>
          </w:p>
          <w:p w14:paraId="4EA13CE0" w14:textId="77777777" w:rsidR="00970664" w:rsidRDefault="608E6F07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 w:rsidRPr="608E6F07"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Host initial market update webinar with clients</w:t>
            </w:r>
          </w:p>
          <w:p w14:paraId="48C74447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Evaluate tactical and strategic allocation changes</w:t>
            </w:r>
          </w:p>
        </w:tc>
      </w:tr>
      <w:tr w:rsidR="00970664" w14:paraId="01345294" w14:textId="77777777" w:rsidTr="52571E2D">
        <w:tc>
          <w:tcPr>
            <w:tcW w:w="180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4" w:space="0" w:color="C8A84B"/>
            </w:tcBorders>
            <w:shd w:val="clear" w:color="auto" w:fill="D1D9EC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 w14:paraId="7D0ECFE6" w14:textId="77777777" w:rsidR="00970664" w:rsidRDefault="009E574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A4A"/>
                <w:sz w:val="36"/>
                <w:szCs w:val="36"/>
              </w:rPr>
              <w:t>-10%</w:t>
            </w:r>
          </w:p>
        </w:tc>
        <w:tc>
          <w:tcPr>
            <w:tcW w:w="828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1" w:space="0" w:color="FFFFFF" w:themeColor="background1"/>
            </w:tcBorders>
            <w:shd w:val="clear" w:color="auto" w:fill="D1D9EC"/>
            <w:tcMar>
              <w:top w:w="160" w:type="dxa"/>
              <w:left w:w="280" w:type="dxa"/>
              <w:bottom w:w="160" w:type="dxa"/>
              <w:right w:w="200" w:type="dxa"/>
            </w:tcMar>
            <w:vAlign w:val="center"/>
          </w:tcPr>
          <w:p w14:paraId="7620DF5A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Rebalance portfolios</w:t>
            </w:r>
          </w:p>
          <w:p w14:paraId="363A365E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Post updated protective guardrail levels in client portal</w:t>
            </w:r>
          </w:p>
          <w:p w14:paraId="05DA8BB6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Expedite at least partial Roth Conversions</w:t>
            </w:r>
          </w:p>
          <w:p w14:paraId="3767994A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Tax Loss Harvest brokerage accounts</w:t>
            </w:r>
          </w:p>
          <w:p w14:paraId="032A1433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Start dedicated distribution sleeves until back above -10%</w:t>
            </w:r>
          </w:p>
        </w:tc>
      </w:tr>
      <w:tr w:rsidR="00970664" w14:paraId="1F0D05B4" w14:textId="77777777" w:rsidTr="52571E2D">
        <w:tc>
          <w:tcPr>
            <w:tcW w:w="180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4" w:space="0" w:color="C8A84B"/>
            </w:tcBorders>
            <w:shd w:val="clear" w:color="auto" w:fill="E8EDF5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 w14:paraId="300C2896" w14:textId="77777777" w:rsidR="00970664" w:rsidRDefault="009E574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A4A"/>
                <w:sz w:val="36"/>
                <w:szCs w:val="36"/>
              </w:rPr>
              <w:t>-15%</w:t>
            </w:r>
          </w:p>
        </w:tc>
        <w:tc>
          <w:tcPr>
            <w:tcW w:w="828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1" w:space="0" w:color="FFFFFF" w:themeColor="background1"/>
            </w:tcBorders>
            <w:shd w:val="clear" w:color="auto" w:fill="E8EDF5"/>
            <w:tcMar>
              <w:top w:w="160" w:type="dxa"/>
              <w:left w:w="280" w:type="dxa"/>
              <w:bottom w:w="160" w:type="dxa"/>
              <w:right w:w="200" w:type="dxa"/>
            </w:tcMar>
            <w:vAlign w:val="center"/>
          </w:tcPr>
          <w:p w14:paraId="50EFFB18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Rebalance portfolios</w:t>
            </w:r>
          </w:p>
          <w:p w14:paraId="13C5FD3F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Host market update webinars bi-weekly until event resolves</w:t>
            </w:r>
          </w:p>
          <w:p w14:paraId="1C9E12D9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Consider more aggressive or full-year Roth Conversion</w:t>
            </w:r>
          </w:p>
          <w:p w14:paraId="618E8690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Increase to minor partial risk on tactical equity sleeve</w:t>
            </w:r>
          </w:p>
        </w:tc>
      </w:tr>
      <w:tr w:rsidR="00970664" w14:paraId="624D68ED" w14:textId="77777777" w:rsidTr="52571E2D">
        <w:tc>
          <w:tcPr>
            <w:tcW w:w="180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4" w:space="0" w:color="C8A84B"/>
            </w:tcBorders>
            <w:shd w:val="clear" w:color="auto" w:fill="D1D9EC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 w14:paraId="39D65949" w14:textId="77777777" w:rsidR="00970664" w:rsidRDefault="009E574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A4A"/>
                <w:sz w:val="36"/>
                <w:szCs w:val="36"/>
              </w:rPr>
              <w:t>-20%</w:t>
            </w:r>
          </w:p>
        </w:tc>
        <w:tc>
          <w:tcPr>
            <w:tcW w:w="828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1" w:space="0" w:color="FFFFFF" w:themeColor="background1"/>
              <w:right w:val="single" w:sz="1" w:space="0" w:color="FFFFFF" w:themeColor="background1"/>
            </w:tcBorders>
            <w:shd w:val="clear" w:color="auto" w:fill="D1D9EC"/>
            <w:tcMar>
              <w:top w:w="160" w:type="dxa"/>
              <w:left w:w="280" w:type="dxa"/>
              <w:bottom w:w="160" w:type="dxa"/>
              <w:right w:w="200" w:type="dxa"/>
            </w:tcMar>
            <w:vAlign w:val="center"/>
          </w:tcPr>
          <w:p w14:paraId="552833AA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Rebalance portfolios</w:t>
            </w:r>
          </w:p>
          <w:p w14:paraId="7F16B751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Evaluate Roth Conversions in higher-than-normal tax brackets</w:t>
            </w:r>
          </w:p>
          <w:p w14:paraId="68A8BC52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Increase to majority risk on tactical sleeve</w:t>
            </w:r>
          </w:p>
          <w:p w14:paraId="19FB30AF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Tax Loss Harvest brokerage accounts</w:t>
            </w:r>
          </w:p>
        </w:tc>
      </w:tr>
      <w:tr w:rsidR="00970664" w14:paraId="27373C31" w14:textId="77777777" w:rsidTr="52571E2D">
        <w:tc>
          <w:tcPr>
            <w:tcW w:w="180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6" w:space="0" w:color="C8A84B"/>
              <w:right w:val="single" w:sz="4" w:space="0" w:color="C8A84B"/>
            </w:tcBorders>
            <w:shd w:val="clear" w:color="auto" w:fill="E8EDF5"/>
            <w:tcMar>
              <w:top w:w="160" w:type="dxa"/>
              <w:left w:w="200" w:type="dxa"/>
              <w:bottom w:w="160" w:type="dxa"/>
              <w:right w:w="160" w:type="dxa"/>
            </w:tcMar>
            <w:vAlign w:val="center"/>
          </w:tcPr>
          <w:p w14:paraId="56547603" w14:textId="77777777" w:rsidR="00970664" w:rsidRDefault="009E574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A4A"/>
                <w:sz w:val="36"/>
                <w:szCs w:val="36"/>
              </w:rPr>
              <w:t>-30%</w:t>
            </w:r>
          </w:p>
        </w:tc>
        <w:tc>
          <w:tcPr>
            <w:tcW w:w="8280" w:type="dxa"/>
            <w:tcBorders>
              <w:top w:val="single" w:sz="1" w:space="0" w:color="FFFFFF" w:themeColor="background1"/>
              <w:left w:val="single" w:sz="1" w:space="0" w:color="FFFFFF" w:themeColor="background1"/>
              <w:bottom w:val="single" w:sz="6" w:space="0" w:color="C8A84B"/>
              <w:right w:val="single" w:sz="1" w:space="0" w:color="FFFFFF" w:themeColor="background1"/>
            </w:tcBorders>
            <w:shd w:val="clear" w:color="auto" w:fill="E8EDF5"/>
            <w:tcMar>
              <w:top w:w="160" w:type="dxa"/>
              <w:left w:w="280" w:type="dxa"/>
              <w:bottom w:w="160" w:type="dxa"/>
              <w:right w:w="200" w:type="dxa"/>
            </w:tcMar>
            <w:vAlign w:val="center"/>
          </w:tcPr>
          <w:p w14:paraId="78CE53D0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Rebalance portfolios</w:t>
            </w:r>
          </w:p>
          <w:p w14:paraId="4905F44C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Evaluate Roth Conversions in higher-than-normal tax brackets</w:t>
            </w:r>
          </w:p>
          <w:p w14:paraId="44C498AF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Increase to full risk on tactical sleeve</w:t>
            </w:r>
          </w:p>
          <w:p w14:paraId="7050B0B2" w14:textId="77777777" w:rsidR="00970664" w:rsidRDefault="009E5745">
            <w:pPr>
              <w:pStyle w:val="ListParagraph"/>
              <w:numPr>
                <w:ilvl w:val="0"/>
                <w:numId w:val="1"/>
              </w:numPr>
              <w:spacing w:before="40" w:after="40"/>
            </w:pPr>
            <w:r>
              <w:rPr>
                <w:rFonts w:ascii="Calibri" w:eastAsia="Calibri" w:hAnsi="Calibri" w:cs="Calibri"/>
                <w:color w:val="2C3E50"/>
                <w:sz w:val="22"/>
                <w:szCs w:val="22"/>
              </w:rPr>
              <w:t>Increase risk on strategic sleeve</w:t>
            </w:r>
          </w:p>
        </w:tc>
      </w:tr>
    </w:tbl>
    <w:p w14:paraId="0677DE86" w14:textId="77777777" w:rsidR="008949DA" w:rsidRDefault="008949DA"/>
    <w:sectPr w:rsidR="008949DA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0F17"/>
    <w:multiLevelType w:val="hybridMultilevel"/>
    <w:tmpl w:val="FFFFFFFF"/>
    <w:lvl w:ilvl="0" w:tplc="5290E064">
      <w:start w:val="1"/>
      <w:numFmt w:val="bullet"/>
      <w:lvlText w:val="•"/>
      <w:lvlJc w:val="left"/>
      <w:pPr>
        <w:ind w:left="480" w:hanging="280"/>
      </w:pPr>
      <w:rPr>
        <w:rFonts w:ascii="Symbol" w:eastAsia="Symbol" w:hAnsi="Symbol" w:cs="Symbol"/>
        <w:color w:val="C8A84B"/>
        <w:sz w:val="20"/>
        <w:szCs w:val="20"/>
      </w:rPr>
    </w:lvl>
    <w:lvl w:ilvl="1" w:tplc="EF88DAD0">
      <w:numFmt w:val="decimal"/>
      <w:lvlText w:val=""/>
      <w:lvlJc w:val="left"/>
    </w:lvl>
    <w:lvl w:ilvl="2" w:tplc="F57E7736">
      <w:numFmt w:val="decimal"/>
      <w:lvlText w:val=""/>
      <w:lvlJc w:val="left"/>
    </w:lvl>
    <w:lvl w:ilvl="3" w:tplc="DB62DD0A">
      <w:numFmt w:val="decimal"/>
      <w:lvlText w:val=""/>
      <w:lvlJc w:val="left"/>
    </w:lvl>
    <w:lvl w:ilvl="4" w:tplc="4C2A369C">
      <w:numFmt w:val="decimal"/>
      <w:lvlText w:val=""/>
      <w:lvlJc w:val="left"/>
    </w:lvl>
    <w:lvl w:ilvl="5" w:tplc="6AE6545A">
      <w:numFmt w:val="decimal"/>
      <w:lvlText w:val=""/>
      <w:lvlJc w:val="left"/>
    </w:lvl>
    <w:lvl w:ilvl="6" w:tplc="942499B6">
      <w:numFmt w:val="decimal"/>
      <w:lvlText w:val=""/>
      <w:lvlJc w:val="left"/>
    </w:lvl>
    <w:lvl w:ilvl="7" w:tplc="5C547366">
      <w:numFmt w:val="decimal"/>
      <w:lvlText w:val=""/>
      <w:lvlJc w:val="left"/>
    </w:lvl>
    <w:lvl w:ilvl="8" w:tplc="A1F23CC4">
      <w:numFmt w:val="decimal"/>
      <w:lvlText w:val=""/>
      <w:lvlJc w:val="left"/>
    </w:lvl>
  </w:abstractNum>
  <w:abstractNum w:abstractNumId="1" w15:restartNumberingAfterBreak="0">
    <w:nsid w:val="3E789906"/>
    <w:multiLevelType w:val="hybridMultilevel"/>
    <w:tmpl w:val="FFFFFFFF"/>
    <w:lvl w:ilvl="0" w:tplc="13DE67BE">
      <w:start w:val="1"/>
      <w:numFmt w:val="bullet"/>
      <w:lvlText w:val="●"/>
      <w:lvlJc w:val="left"/>
      <w:pPr>
        <w:ind w:left="720" w:hanging="360"/>
      </w:pPr>
    </w:lvl>
    <w:lvl w:ilvl="1" w:tplc="7752EEE4">
      <w:start w:val="1"/>
      <w:numFmt w:val="bullet"/>
      <w:lvlText w:val="○"/>
      <w:lvlJc w:val="left"/>
      <w:pPr>
        <w:ind w:left="1440" w:hanging="360"/>
      </w:pPr>
    </w:lvl>
    <w:lvl w:ilvl="2" w:tplc="57086462">
      <w:start w:val="1"/>
      <w:numFmt w:val="bullet"/>
      <w:lvlText w:val="■"/>
      <w:lvlJc w:val="left"/>
      <w:pPr>
        <w:ind w:left="2160" w:hanging="360"/>
      </w:pPr>
    </w:lvl>
    <w:lvl w:ilvl="3" w:tplc="6D74835C">
      <w:start w:val="1"/>
      <w:numFmt w:val="bullet"/>
      <w:lvlText w:val="●"/>
      <w:lvlJc w:val="left"/>
      <w:pPr>
        <w:ind w:left="2880" w:hanging="360"/>
      </w:pPr>
    </w:lvl>
    <w:lvl w:ilvl="4" w:tplc="DB6091A0">
      <w:start w:val="1"/>
      <w:numFmt w:val="bullet"/>
      <w:lvlText w:val="○"/>
      <w:lvlJc w:val="left"/>
      <w:pPr>
        <w:ind w:left="3600" w:hanging="360"/>
      </w:pPr>
    </w:lvl>
    <w:lvl w:ilvl="5" w:tplc="2362BB68">
      <w:start w:val="1"/>
      <w:numFmt w:val="bullet"/>
      <w:lvlText w:val="■"/>
      <w:lvlJc w:val="left"/>
      <w:pPr>
        <w:ind w:left="4320" w:hanging="360"/>
      </w:pPr>
    </w:lvl>
    <w:lvl w:ilvl="6" w:tplc="0662570A">
      <w:start w:val="1"/>
      <w:numFmt w:val="bullet"/>
      <w:lvlText w:val="●"/>
      <w:lvlJc w:val="left"/>
      <w:pPr>
        <w:ind w:left="5040" w:hanging="360"/>
      </w:pPr>
    </w:lvl>
    <w:lvl w:ilvl="7" w:tplc="B6B6DAAA">
      <w:start w:val="1"/>
      <w:numFmt w:val="bullet"/>
      <w:lvlText w:val="●"/>
      <w:lvlJc w:val="left"/>
      <w:pPr>
        <w:ind w:left="5760" w:hanging="360"/>
      </w:pPr>
    </w:lvl>
    <w:lvl w:ilvl="8" w:tplc="6EB6BBC8">
      <w:start w:val="1"/>
      <w:numFmt w:val="bullet"/>
      <w:lvlText w:val="●"/>
      <w:lvlJc w:val="left"/>
      <w:pPr>
        <w:ind w:left="6480" w:hanging="360"/>
      </w:pPr>
    </w:lvl>
  </w:abstractNum>
  <w:num w:numId="1" w16cid:durableId="6010308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8E6F07"/>
    <w:rsid w:val="004F2C42"/>
    <w:rsid w:val="008949DA"/>
    <w:rsid w:val="00970664"/>
    <w:rsid w:val="009E5745"/>
    <w:rsid w:val="00CC5C91"/>
    <w:rsid w:val="00D5524D"/>
    <w:rsid w:val="00FF2C1E"/>
    <w:rsid w:val="52571E2D"/>
    <w:rsid w:val="608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84C7"/>
  <w15:docId w15:val="{14999A3D-BFBA-41EB-85A9-95BE68F4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86afe6-2814-4cb5-92c4-af72f2aea325" xsi:nil="true"/>
    <lcf76f155ced4ddcb4097134ff3c332f xmlns="4ba18ff1-9148-4a63-9bb5-69bf1f8721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2D408BF91848964C9A72B99A6DAF" ma:contentTypeVersion="14" ma:contentTypeDescription="Create a new document." ma:contentTypeScope="" ma:versionID="71910a74109a854b9c8c8710c4d5b96d">
  <xsd:schema xmlns:xsd="http://www.w3.org/2001/XMLSchema" xmlns:xs="http://www.w3.org/2001/XMLSchema" xmlns:p="http://schemas.microsoft.com/office/2006/metadata/properties" xmlns:ns2="0586afe6-2814-4cb5-92c4-af72f2aea325" xmlns:ns3="4ba18ff1-9148-4a63-9bb5-69bf1f8721d3" targetNamespace="http://schemas.microsoft.com/office/2006/metadata/properties" ma:root="true" ma:fieldsID="5d4588bac14b6dfcc2da34d8909e8f4f" ns2:_="" ns3:_="">
    <xsd:import namespace="0586afe6-2814-4cb5-92c4-af72f2aea325"/>
    <xsd:import namespace="4ba18ff1-9148-4a63-9bb5-69bf1f8721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6afe6-2814-4cb5-92c4-af72f2aea3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868871-36f6-400f-8f35-7bb0f0ee22e0}" ma:internalName="TaxCatchAll" ma:showField="CatchAllData" ma:web="0586afe6-2814-4cb5-92c4-af72f2aea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18ff1-9148-4a63-9bb5-69bf1f872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e945071-b0b2-41b6-a98a-e3d949953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393983-B52E-4BA3-A5CA-35439D2BFA5A}">
  <ds:schemaRefs>
    <ds:schemaRef ds:uri="http://schemas.microsoft.com/office/2006/metadata/properties"/>
    <ds:schemaRef ds:uri="http://schemas.microsoft.com/office/infopath/2007/PartnerControls"/>
    <ds:schemaRef ds:uri="fc5cefb4-0c4e-461e-9d29-d76e18e6dd61"/>
    <ds:schemaRef ds:uri="9658bd74-c0b1-4126-a33f-8ead4b08398f"/>
  </ds:schemaRefs>
</ds:datastoreItem>
</file>

<file path=customXml/itemProps2.xml><?xml version="1.0" encoding="utf-8"?>
<ds:datastoreItem xmlns:ds="http://schemas.openxmlformats.org/officeDocument/2006/customXml" ds:itemID="{66EED9C5-BF8E-43CD-B22C-6215806D4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71A9A-A4FF-41EB-BDF8-29358691801E}"/>
</file>

<file path=docMetadata/LabelInfo.xml><?xml version="1.0" encoding="utf-8"?>
<clbl:labelList xmlns:clbl="http://schemas.microsoft.com/office/2020/mipLabelMetadata">
  <clbl:label id="{defa4170-0d19-0005-0004-bc88714345d2}" enabled="1" method="Standard" siteId="{31410c11-6d8c-4fc2-be62-c38096d30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4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Adam Van Deusen</cp:lastModifiedBy>
  <cp:revision>2</cp:revision>
  <dcterms:created xsi:type="dcterms:W3CDTF">2026-05-27T19:27:00Z</dcterms:created>
  <dcterms:modified xsi:type="dcterms:W3CDTF">2026-05-27T19:27:00Z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0x010100E6932D408BF91848964C9A72B99A6DAF</vt:lpwstr>
  </property>
  <property fmtid="{D5CDD505-2E9C-101B-9397-08002B2CF9AE}" pid="3" name="MediaServiceImageTags">
    <vt:lpwstr/>
  </property>
</Properties>
</file>