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B732" w14:textId="77777777" w:rsidR="00D6697E" w:rsidRPr="009916D3" w:rsidRDefault="00D6697E" w:rsidP="00D6697E">
      <w:pPr>
        <w:spacing w:before="100" w:beforeAutospacing="1" w:after="100" w:afterAutospacing="1" w:line="240" w:lineRule="auto"/>
        <w:outlineLvl w:val="0"/>
        <w:rPr>
          <w:rFonts w:ascii="Calibri" w:eastAsia="Times New Roman" w:hAnsi="Calibri" w:cs="Times New Roman"/>
          <w:b/>
          <w:bCs/>
          <w:kern w:val="36"/>
          <w:sz w:val="22"/>
          <w:szCs w:val="48"/>
          <w14:ligatures w14:val="none"/>
        </w:rPr>
      </w:pPr>
      <w:r w:rsidRPr="009916D3">
        <w:rPr>
          <w:rFonts w:ascii="Calibri" w:eastAsia="Times New Roman" w:hAnsi="Calibri" w:cs="Times New Roman"/>
          <w:b/>
          <w:bCs/>
          <w:kern w:val="36"/>
          <w:sz w:val="22"/>
          <w:szCs w:val="48"/>
          <w14:ligatures w14:val="none"/>
        </w:rPr>
        <w:t>Private Fund Due Diligence Checklist</w:t>
      </w:r>
    </w:p>
    <w:p w14:paraId="04F0C034"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Legal and Operational Review for RIAs Recommending Private Fund Investments</w:t>
      </w:r>
    </w:p>
    <w:p w14:paraId="18E332F9" w14:textId="77777777" w:rsidR="00B92E49" w:rsidRDefault="00D6697E" w:rsidP="00D6697E">
      <w:p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This checklist is designed to support a disciplined, documented fiduciary process across various types of private funds .</w:t>
      </w:r>
      <w:r w:rsidR="0078118E">
        <w:rPr>
          <w:rFonts w:ascii="Calibri" w:eastAsia="Times New Roman" w:hAnsi="Calibri" w:cs="Times New Roman"/>
          <w:kern w:val="0"/>
          <w:sz w:val="22"/>
          <w14:ligatures w14:val="none"/>
        </w:rPr>
        <w:t xml:space="preserve"> </w:t>
      </w:r>
      <w:r w:rsidRPr="009916D3">
        <w:rPr>
          <w:rFonts w:ascii="Calibri" w:eastAsia="Times New Roman" w:hAnsi="Calibri" w:cs="Times New Roman"/>
          <w:kern w:val="0"/>
          <w:sz w:val="22"/>
          <w14:ligatures w14:val="none"/>
        </w:rPr>
        <w:t xml:space="preserve"> </w:t>
      </w:r>
    </w:p>
    <w:p w14:paraId="59D99B66" w14:textId="3B647B83" w:rsidR="00D6697E" w:rsidRPr="009916D3" w:rsidRDefault="00B92E49" w:rsidP="00D6697E">
      <w:pPr>
        <w:spacing w:before="100" w:beforeAutospacing="1" w:after="100" w:afterAutospacing="1" w:line="240" w:lineRule="auto"/>
        <w:rPr>
          <w:rFonts w:ascii="Calibri" w:eastAsia="Times New Roman" w:hAnsi="Calibri" w:cs="Times New Roman"/>
          <w:kern w:val="0"/>
          <w:sz w:val="22"/>
          <w14:ligatures w14:val="none"/>
        </w:rPr>
      </w:pPr>
      <w:r>
        <w:rPr>
          <w:rFonts w:ascii="Calibri" w:eastAsia="Times New Roman" w:hAnsi="Calibri" w:cs="Times New Roman"/>
          <w:kern w:val="0"/>
          <w:sz w:val="22"/>
          <w14:ligatures w14:val="none"/>
        </w:rPr>
        <w:t>Cautionary Note: This checklist is provided for general informational purposes only and does not constitute legal advice, nor does it create an attorney-client relationship. It is not intended to be a comprehensive or exhaustive due diligence checklist, and it should not be relied upon as a substitute for independent professional judgment or the advice of qualified counsel. The appropriate scope and content of due diligence will vary depending on the type of private fund involved (e.g., private equity, venture capital, hedge, real estate, credit, or fund-of-funds), the specific structure and strategy of the fund, and the particular circumstances of the client. This checklist must be reviewed, customized, and supplemented as appropriate for each engagement before use.</w:t>
      </w:r>
    </w:p>
    <w:p w14:paraId="13876456" w14:textId="77777777" w:rsidR="00D6697E" w:rsidRPr="009916D3" w:rsidRDefault="00D6697E" w:rsidP="00D6697E">
      <w:pPr>
        <w:spacing w:before="100" w:beforeAutospacing="1" w:after="100" w:afterAutospacing="1" w:line="240" w:lineRule="auto"/>
        <w:rPr>
          <w:rFonts w:ascii="Calibri" w:eastAsia="Times New Roman" w:hAnsi="Calibri" w:cs="Times New Roman"/>
          <w:kern w:val="0"/>
          <w:sz w:val="22"/>
          <w14:ligatures w14:val="none"/>
        </w:rPr>
      </w:pPr>
    </w:p>
    <w:p w14:paraId="0C2B7C2A" w14:textId="77777777" w:rsidR="00D6697E" w:rsidRPr="009916D3" w:rsidRDefault="00D6697E" w:rsidP="00D6697E">
      <w:pPr>
        <w:spacing w:before="100" w:beforeAutospacing="1" w:after="100" w:afterAutospacing="1" w:line="240" w:lineRule="auto"/>
        <w:outlineLvl w:val="1"/>
        <w:rPr>
          <w:rFonts w:ascii="Calibri" w:eastAsia="Times New Roman" w:hAnsi="Calibri" w:cs="Times New Roman"/>
          <w:b/>
          <w:bCs/>
          <w:kern w:val="0"/>
          <w:sz w:val="22"/>
          <w:szCs w:val="36"/>
          <w14:ligatures w14:val="none"/>
        </w:rPr>
      </w:pPr>
      <w:r w:rsidRPr="009916D3">
        <w:rPr>
          <w:rFonts w:ascii="Calibri" w:eastAsia="Times New Roman" w:hAnsi="Calibri" w:cs="Times New Roman"/>
          <w:b/>
          <w:bCs/>
          <w:kern w:val="0"/>
          <w:sz w:val="22"/>
          <w:szCs w:val="36"/>
          <w14:ligatures w14:val="none"/>
        </w:rPr>
        <w:t>PART I — LEGAL / GOVERNING DOCUMENT DUE DILIGENCE</w:t>
      </w:r>
    </w:p>
    <w:p w14:paraId="7B46FE24"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A. Foundational Document Collection &amp; Review</w:t>
      </w:r>
    </w:p>
    <w:p w14:paraId="6D90B5B1"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Obtain and review the full set of governing documents, not just marketing materials, recognizing that the legally binding documents governing the investment often differ substantially from the sponsor's marketing materials.</w:t>
      </w:r>
    </w:p>
    <w:p w14:paraId="63974900"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Collect: Private Placement Memorandum (PPM) / Offering Memorandum</w:t>
      </w:r>
    </w:p>
    <w:p w14:paraId="3DD86F06"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Collect: Limited Partnership Agreement (LPA) or Operating Agreement / LLC Agreement</w:t>
      </w:r>
    </w:p>
    <w:p w14:paraId="332813D8"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Collect: Subscription Agreement and investor questionnaire</w:t>
      </w:r>
    </w:p>
    <w:p w14:paraId="238E1711"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Collect: Investment Management Agreement</w:t>
      </w:r>
    </w:p>
    <w:p w14:paraId="1D17B999"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Collect: Form ADV Parts 1, 2A, and 2B</w:t>
      </w:r>
    </w:p>
    <w:p w14:paraId="3237F4EE"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Collect: Most recent audited financial statements</w:t>
      </w:r>
    </w:p>
    <w:p w14:paraId="27BC19D7"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Collect: Any side letters or most-favored-nation (MFN) election materials</w:t>
      </w:r>
    </w:p>
    <w:p w14:paraId="76381C9A" w14:textId="77777777" w:rsidR="00D6697E" w:rsidRPr="009916D3" w:rsidRDefault="00D6697E" w:rsidP="00D6697E">
      <w:pPr>
        <w:numPr>
          <w:ilvl w:val="0"/>
          <w:numId w:val="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Reconcile material terms across the PPM and the LPA/operating agreement to identify discrepancies between marketing and binding terms.</w:t>
      </w:r>
    </w:p>
    <w:p w14:paraId="61AE356E"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B. Conflicts of Interest</w:t>
      </w:r>
    </w:p>
    <w:p w14:paraId="7344B5F8" w14:textId="77777777" w:rsidR="00D6697E" w:rsidRPr="009916D3" w:rsidRDefault="00D6697E" w:rsidP="00D6697E">
      <w:pPr>
        <w:numPr>
          <w:ilvl w:val="0"/>
          <w:numId w:val="2"/>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Identify sponsor compensation received directly from portfolio companies (transaction, monitoring, consulting, acquisition, advisory fees) and determine whether the governing documents require fee offsets, how those offsets are calculated, and whether any cap or limitation applies to the fees a sponsor may collect from portfolio companies without crediting investors.</w:t>
      </w:r>
    </w:p>
    <w:p w14:paraId="2E05D259" w14:textId="77777777" w:rsidR="00D6697E" w:rsidRPr="009916D3" w:rsidRDefault="00D6697E" w:rsidP="00D6697E">
      <w:pPr>
        <w:numPr>
          <w:ilvl w:val="0"/>
          <w:numId w:val="2"/>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Review investment/opportunity allocation policies where the sponsor manages multiple funds with overlapping mandates, including whether allocation policies are clearly defined in the governing documents, whether an independent advisory committee or investor oversight mechanism exists with authority over allocation disputes, and whether the sponsor's cross-fund economics create identifiable incentives to favor one vehicle over another.</w:t>
      </w:r>
    </w:p>
    <w:p w14:paraId="30635F7F" w14:textId="77777777" w:rsidR="00D6697E" w:rsidRPr="009916D3" w:rsidRDefault="00D6697E" w:rsidP="00D6697E">
      <w:pPr>
        <w:numPr>
          <w:ilvl w:val="0"/>
          <w:numId w:val="2"/>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lastRenderedPageBreak/>
        <w:t>Identify related-party and affiliated transactions (affiliated brokers, property managers, lenders, service providers) and assess what affiliated transactions are explicitly authorized, whether independent oversight or approval procedures apply, and whether the terms of affiliated transactions are required to be on arm's-length terms with independent verification.</w:t>
      </w:r>
    </w:p>
    <w:p w14:paraId="6F5369B2" w14:textId="77777777" w:rsidR="00D6697E" w:rsidRPr="009916D3" w:rsidRDefault="00D6697E" w:rsidP="00D6697E">
      <w:pPr>
        <w:numPr>
          <w:ilvl w:val="0"/>
          <w:numId w:val="2"/>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Evaluate whether the governance structure (e.g., LP advisory committee) provides any realistic mechanism for investors to constrain sponsor conduct, recognizing that committees typically provide only a partial avenue for management of such conflicts and are often comprised of investors representing their own interests, which may be different from other investors.</w:t>
      </w:r>
    </w:p>
    <w:p w14:paraId="6E0AB458" w14:textId="77777777" w:rsidR="00D6697E" w:rsidRPr="009916D3" w:rsidRDefault="00D6697E" w:rsidP="00D6697E">
      <w:pPr>
        <w:numPr>
          <w:ilvl w:val="0"/>
          <w:numId w:val="2"/>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Review GP/principal co-investment and "skin in the game" commitment.</w:t>
      </w:r>
    </w:p>
    <w:p w14:paraId="2BB5765A"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C. Liquidity Terms (map each layer independently)</w:t>
      </w:r>
    </w:p>
    <w:p w14:paraId="6B8A2133"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Lockup periods — duration and any hard vs. soft lockup distinction.</w:t>
      </w:r>
    </w:p>
    <w:p w14:paraId="2D289ECF"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Redemption notice periods — note that notice periods of ninety to one hundred eighty days or longer may further delay actual receipt of capital after a redemption request is submitted.</w:t>
      </w:r>
    </w:p>
    <w:p w14:paraId="0A6139A7"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Fund-level gates — aggregate redemption caps and proration mechanics.</w:t>
      </w:r>
    </w:p>
    <w:p w14:paraId="4EED75F6"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Investor-level gates — per-investor redemption caps.</w:t>
      </w:r>
    </w:p>
    <w:p w14:paraId="06D34459"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Side pockets — sponsor authority to segregate illiquid or hard-to-value assets from the main portfolio until realized.</w:t>
      </w:r>
    </w:p>
    <w:p w14:paraId="71F1C5F9"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Suspension/gate rights — scope and breadth of conditions under which the sponsor may halt redemptions entirely.</w:t>
      </w:r>
    </w:p>
    <w:p w14:paraId="6344D1C6"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For closed-end funds: capital commitment/drawdown terms, fund term and extension options, secondary transfer rights, and any co-investor/collective action mechanisms.</w:t>
      </w:r>
    </w:p>
    <w:p w14:paraId="62307D8E" w14:textId="77777777" w:rsidR="00D6697E" w:rsidRPr="009916D3" w:rsidRDefault="00D6697E" w:rsidP="00D6697E">
      <w:pPr>
        <w:numPr>
          <w:ilvl w:val="0"/>
          <w:numId w:val="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Map the cumulative effect of all liquidity restrictions against the client's portfolio and near-term capital needs, documenting the analysis before the recommendation is made.</w:t>
      </w:r>
    </w:p>
    <w:p w14:paraId="794DAE9D"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D. Side Letters &amp; Preferential Terms</w:t>
      </w:r>
    </w:p>
    <w:p w14:paraId="3430AACE" w14:textId="77777777" w:rsidR="00D6697E" w:rsidRPr="009916D3" w:rsidRDefault="00D6697E" w:rsidP="00D6697E">
      <w:pPr>
        <w:numPr>
          <w:ilvl w:val="0"/>
          <w:numId w:val="4"/>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Inquire whether side letters exist and which categories of rights have been granted to other investors (e.g., reduced management fees, reduced or eliminated carried interest, preferential access to co-investment opportunities, enhanced reporting and portfolio transparency, and regulatory accommodations for specific investor types).</w:t>
      </w:r>
    </w:p>
    <w:p w14:paraId="4A157EB9" w14:textId="77777777" w:rsidR="00D6697E" w:rsidRPr="009916D3" w:rsidRDefault="00D6697E" w:rsidP="00D6697E">
      <w:pPr>
        <w:numPr>
          <w:ilvl w:val="0"/>
          <w:numId w:val="4"/>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Determine whether an MFN provision is available to the client, its scope, and applicable exceptions.</w:t>
      </w:r>
    </w:p>
    <w:p w14:paraId="35AB4989" w14:textId="77777777" w:rsidR="00D6697E" w:rsidRPr="009916D3" w:rsidRDefault="00D6697E" w:rsidP="00D6697E">
      <w:pPr>
        <w:numPr>
          <w:ilvl w:val="0"/>
          <w:numId w:val="4"/>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Assess whether other investors hold enhanced redemption rights that could disadvantage the client during stressed conditions.</w:t>
      </w:r>
    </w:p>
    <w:p w14:paraId="0730EDCE"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E. Fees &amp; Expense Allocation</w:t>
      </w:r>
    </w:p>
    <w:p w14:paraId="7B1FB3ED" w14:textId="77777777" w:rsidR="00D6697E" w:rsidRPr="009916D3" w:rsidRDefault="00D6697E" w:rsidP="00D6697E">
      <w:pPr>
        <w:numPr>
          <w:ilvl w:val="0"/>
          <w:numId w:val="5"/>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Confirm the management fee rate, basis, and calculation.</w:t>
      </w:r>
    </w:p>
    <w:p w14:paraId="0A467EDE" w14:textId="77777777" w:rsidR="00D6697E" w:rsidRPr="009916D3" w:rsidRDefault="00D6697E" w:rsidP="00D6697E">
      <w:pPr>
        <w:numPr>
          <w:ilvl w:val="0"/>
          <w:numId w:val="5"/>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 xml:space="preserve">Confirm carried interest / performance allocation, preferred return/hurdle, catch-up, and </w:t>
      </w:r>
      <w:proofErr w:type="spellStart"/>
      <w:r w:rsidRPr="009916D3">
        <w:rPr>
          <w:rFonts w:ascii="Calibri" w:eastAsia="Times New Roman" w:hAnsi="Calibri" w:cs="Times New Roman"/>
          <w:kern w:val="0"/>
          <w:sz w:val="22"/>
          <w14:ligatures w14:val="none"/>
        </w:rPr>
        <w:t>clawback</w:t>
      </w:r>
      <w:proofErr w:type="spellEnd"/>
      <w:r w:rsidRPr="009916D3">
        <w:rPr>
          <w:rFonts w:ascii="Calibri" w:eastAsia="Times New Roman" w:hAnsi="Calibri" w:cs="Times New Roman"/>
          <w:kern w:val="0"/>
          <w:sz w:val="22"/>
          <w14:ligatures w14:val="none"/>
        </w:rPr>
        <w:t xml:space="preserve"> provisions.</w:t>
      </w:r>
    </w:p>
    <w:p w14:paraId="4D7DB030" w14:textId="77777777" w:rsidR="00D6697E" w:rsidRPr="009916D3" w:rsidRDefault="00D6697E" w:rsidP="00D6697E">
      <w:pPr>
        <w:numPr>
          <w:ilvl w:val="0"/>
          <w:numId w:val="5"/>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Review which expenses may be charged directly to the fund (e.g., broken-deal costs, regulatory/compliance, litigation, consultants, travel, technology, organizational costs, placement fees, insurance covering the sponsor).</w:t>
      </w:r>
    </w:p>
    <w:p w14:paraId="69DCFB59" w14:textId="77777777" w:rsidR="00D6697E" w:rsidRPr="009916D3" w:rsidRDefault="00D6697E" w:rsidP="00D6697E">
      <w:pPr>
        <w:numPr>
          <w:ilvl w:val="0"/>
          <w:numId w:val="5"/>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 xml:space="preserve">Assess whether categories of eligible fund expenses are clearly defined, whether the sponsor's discretion is subject to meaningful limitation, whether affiliated-party expenses are addressed </w:t>
      </w:r>
      <w:r w:rsidRPr="009916D3">
        <w:rPr>
          <w:rFonts w:ascii="Calibri" w:eastAsia="Times New Roman" w:hAnsi="Calibri" w:cs="Times New Roman"/>
          <w:kern w:val="0"/>
          <w:sz w:val="22"/>
          <w14:ligatures w14:val="none"/>
        </w:rPr>
        <w:lastRenderedPageBreak/>
        <w:t>with arm's-length requirements, and whether any caps or allocation methodologies constrain the sponsor's ability to shift costs to investors.</w:t>
      </w:r>
    </w:p>
    <w:p w14:paraId="5DA38456" w14:textId="77777777" w:rsidR="00D6697E" w:rsidRPr="009916D3" w:rsidRDefault="00D6697E" w:rsidP="00D6697E">
      <w:pPr>
        <w:numPr>
          <w:ilvl w:val="0"/>
          <w:numId w:val="5"/>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Flag and document any unusually broad or vague expense provisions.</w:t>
      </w:r>
    </w:p>
    <w:p w14:paraId="6518AC82"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F. Indemnification &amp; Limitation of Liability</w:t>
      </w:r>
    </w:p>
    <w:p w14:paraId="7E9EEC30" w14:textId="77777777" w:rsidR="00D6697E" w:rsidRPr="009916D3" w:rsidRDefault="00D6697E" w:rsidP="00D6697E">
      <w:pPr>
        <w:numPr>
          <w:ilvl w:val="0"/>
          <w:numId w:val="6"/>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Review the standard of liability (e.g., gross negligence, willful misconduct, bad faith) and note that such standards are difficult to establish in litigation.</w:t>
      </w:r>
    </w:p>
    <w:p w14:paraId="31D7DC08" w14:textId="77777777" w:rsidR="00D6697E" w:rsidRPr="009916D3" w:rsidRDefault="00D6697E" w:rsidP="00D6697E">
      <w:pPr>
        <w:numPr>
          <w:ilvl w:val="0"/>
          <w:numId w:val="6"/>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Assess how indemnification interacts with valuation, expense, and other broad sponsor authorities, since the combination may mean the investor's practical ability to seek recourse for misuse of any of those authorities may be severely limited.</w:t>
      </w:r>
    </w:p>
    <w:p w14:paraId="4120FCA4" w14:textId="77777777" w:rsidR="00D6697E" w:rsidRPr="009916D3" w:rsidRDefault="00D6697E" w:rsidP="00D6697E">
      <w:pPr>
        <w:numPr>
          <w:ilvl w:val="0"/>
          <w:numId w:val="6"/>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Evaluate whether carve-outs for common risk scenarios are meaningful, and whether clients understand the practical limitations on recovery rights before committing capital.</w:t>
      </w:r>
    </w:p>
    <w:p w14:paraId="29890256" w14:textId="77777777" w:rsidR="00D6697E" w:rsidRPr="009916D3" w:rsidRDefault="00D6697E" w:rsidP="00D6697E">
      <w:pPr>
        <w:numPr>
          <w:ilvl w:val="0"/>
          <w:numId w:val="6"/>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Review exculpation, advancement of expenses, and any limits on investor remedies/standing to sue.</w:t>
      </w:r>
    </w:p>
    <w:p w14:paraId="082B6028"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G. Other Legal Terms</w:t>
      </w:r>
    </w:p>
    <w:p w14:paraId="031499E1" w14:textId="77777777" w:rsidR="00D6697E" w:rsidRPr="009916D3" w:rsidRDefault="00D6697E" w:rsidP="00D6697E">
      <w:pPr>
        <w:numPr>
          <w:ilvl w:val="0"/>
          <w:numId w:val="7"/>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Key-person provisions and consequences of a key-person event.</w:t>
      </w:r>
    </w:p>
    <w:p w14:paraId="485FFAD2" w14:textId="77777777" w:rsidR="00D6697E" w:rsidRPr="009916D3" w:rsidRDefault="00D6697E" w:rsidP="00D6697E">
      <w:pPr>
        <w:numPr>
          <w:ilvl w:val="0"/>
          <w:numId w:val="7"/>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GP removal / no-fault divorce rights and required investor vote thresholds.</w:t>
      </w:r>
    </w:p>
    <w:p w14:paraId="252618F8" w14:textId="77777777" w:rsidR="00D6697E" w:rsidRPr="009916D3" w:rsidRDefault="00D6697E" w:rsidP="00D6697E">
      <w:pPr>
        <w:numPr>
          <w:ilvl w:val="0"/>
          <w:numId w:val="7"/>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Amendment provisions — what the sponsor can change without investor consent.</w:t>
      </w:r>
    </w:p>
    <w:p w14:paraId="4198A1EF" w14:textId="77777777" w:rsidR="00D6697E" w:rsidRPr="009916D3" w:rsidRDefault="00D6697E" w:rsidP="00D6697E">
      <w:pPr>
        <w:numPr>
          <w:ilvl w:val="0"/>
          <w:numId w:val="7"/>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Governing law, dispute resolution / arbitration, and jurisdiction.</w:t>
      </w:r>
    </w:p>
    <w:p w14:paraId="17891E60" w14:textId="77777777" w:rsidR="00D6697E" w:rsidRPr="009916D3" w:rsidRDefault="00D6697E" w:rsidP="00D6697E">
      <w:pPr>
        <w:numPr>
          <w:ilvl w:val="0"/>
          <w:numId w:val="7"/>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Regulatory status and exemptions (e.g., 3(c)(1)/3(c)(7), Reg D), and investor eligibility (accredited/qualified purchaser).</w:t>
      </w:r>
    </w:p>
    <w:p w14:paraId="025F0678" w14:textId="77777777" w:rsidR="00D6697E" w:rsidRPr="009916D3" w:rsidRDefault="00D6697E" w:rsidP="00D6697E">
      <w:pPr>
        <w:numPr>
          <w:ilvl w:val="0"/>
          <w:numId w:val="7"/>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Tax structure considerations (e.g., UBTI, ECI, K-1 timing, blocker availability).</w:t>
      </w:r>
    </w:p>
    <w:p w14:paraId="1287E8E9" w14:textId="77777777" w:rsidR="00D6697E" w:rsidRPr="009916D3" w:rsidRDefault="00D6697E" w:rsidP="00D6697E">
      <w:pPr>
        <w:numPr>
          <w:ilvl w:val="0"/>
          <w:numId w:val="7"/>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Reporting and transparency rights (frequency, content, audited financials).</w:t>
      </w:r>
    </w:p>
    <w:p w14:paraId="02FEF8C9" w14:textId="77777777" w:rsidR="00D6697E" w:rsidRPr="009916D3" w:rsidRDefault="00000000" w:rsidP="00D6697E">
      <w:pPr>
        <w:spacing w:after="0" w:line="240" w:lineRule="auto"/>
        <w:rPr>
          <w:rFonts w:ascii="Calibri" w:eastAsia="Times New Roman" w:hAnsi="Calibri" w:cs="Times New Roman"/>
          <w:kern w:val="0"/>
          <w:sz w:val="22"/>
          <w14:ligatures w14:val="none"/>
        </w:rPr>
      </w:pPr>
      <w:r>
        <w:rPr>
          <w:rFonts w:ascii="Calibri" w:eastAsia="Times New Roman" w:hAnsi="Calibri" w:cs="Times New Roman"/>
          <w:kern w:val="0"/>
          <w:sz w:val="22"/>
          <w14:ligatures w14:val="none"/>
        </w:rPr>
        <w:pict w14:anchorId="60684100">
          <v:rect id="_x0000_i1025" style="width:0;height:1.5pt" o:hralign="center" o:hrstd="t" o:hr="t" fillcolor="#a0a0a0" stroked="f"/>
        </w:pict>
      </w:r>
    </w:p>
    <w:p w14:paraId="0A9ADBBD" w14:textId="43FE5F44" w:rsidR="00D6697E" w:rsidRPr="009916D3" w:rsidRDefault="00D6697E" w:rsidP="00D6697E">
      <w:pPr>
        <w:spacing w:before="100" w:beforeAutospacing="1" w:after="100" w:afterAutospacing="1" w:line="240" w:lineRule="auto"/>
        <w:outlineLvl w:val="1"/>
        <w:rPr>
          <w:rFonts w:ascii="Calibri" w:eastAsia="Times New Roman" w:hAnsi="Calibri" w:cs="Times New Roman"/>
          <w:b/>
          <w:bCs/>
          <w:kern w:val="0"/>
          <w:sz w:val="22"/>
          <w:szCs w:val="36"/>
          <w14:ligatures w14:val="none"/>
        </w:rPr>
      </w:pPr>
      <w:r w:rsidRPr="009916D3">
        <w:rPr>
          <w:rFonts w:ascii="Calibri" w:eastAsia="Times New Roman" w:hAnsi="Calibri" w:cs="Times New Roman"/>
          <w:b/>
          <w:bCs/>
          <w:kern w:val="0"/>
          <w:sz w:val="22"/>
          <w:szCs w:val="36"/>
          <w14:ligatures w14:val="none"/>
        </w:rPr>
        <w:t>PART II</w:t>
      </w:r>
      <w:r w:rsidR="0003000E">
        <w:rPr>
          <w:rFonts w:ascii="Calibri" w:eastAsia="Times New Roman" w:hAnsi="Calibri" w:cs="Times New Roman"/>
          <w:b/>
          <w:bCs/>
          <w:kern w:val="0"/>
          <w:sz w:val="22"/>
          <w:szCs w:val="36"/>
          <w14:ligatures w14:val="none"/>
        </w:rPr>
        <w:t>:</w:t>
      </w:r>
      <w:r w:rsidRPr="009916D3">
        <w:rPr>
          <w:rFonts w:ascii="Calibri" w:eastAsia="Times New Roman" w:hAnsi="Calibri" w:cs="Times New Roman"/>
          <w:b/>
          <w:bCs/>
          <w:kern w:val="0"/>
          <w:sz w:val="22"/>
          <w:szCs w:val="36"/>
          <w14:ligatures w14:val="none"/>
        </w:rPr>
        <w:t xml:space="preserve"> OPERATIONAL DUE DILIGENCE</w:t>
      </w:r>
    </w:p>
    <w:p w14:paraId="71EC9549"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H. Segregation of Duties &amp; Cash Controls</w:t>
      </w:r>
    </w:p>
    <w:p w14:paraId="1C280820" w14:textId="77777777" w:rsidR="00D6697E" w:rsidRPr="009916D3" w:rsidRDefault="00D6697E" w:rsidP="00D6697E">
      <w:pPr>
        <w:numPr>
          <w:ilvl w:val="0"/>
          <w:numId w:val="8"/>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Confirm that no single person controls wires, accounting, reconciliations, investor communications, and reporting.</w:t>
      </w:r>
    </w:p>
    <w:p w14:paraId="46CC6C7F" w14:textId="77777777" w:rsidR="00D6697E" w:rsidRPr="009916D3" w:rsidRDefault="00D6697E" w:rsidP="00D6697E">
      <w:pPr>
        <w:numPr>
          <w:ilvl w:val="0"/>
          <w:numId w:val="8"/>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Inquire how cash movements are approved, whether dual authorization procedures exist, how reconciliations are performed, and whether independent administrators or custodians provide oversight.</w:t>
      </w:r>
    </w:p>
    <w:p w14:paraId="2B6B18CF" w14:textId="77777777" w:rsidR="00D6697E" w:rsidRPr="009916D3" w:rsidRDefault="00D6697E" w:rsidP="00D6697E">
      <w:pPr>
        <w:numPr>
          <w:ilvl w:val="0"/>
          <w:numId w:val="8"/>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Assess operational scale relative to AUM, recognizing that a sponsor managing substantial assets with minimal staffing or infrastructure may present operational vulnerabilities even if investment performance appears strong.</w:t>
      </w:r>
    </w:p>
    <w:p w14:paraId="46A37A6A"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I. Valuation Methodology &amp; Practices</w:t>
      </w:r>
    </w:p>
    <w:p w14:paraId="089C1DB6" w14:textId="77777777" w:rsidR="00D6697E" w:rsidRPr="009916D3" w:rsidRDefault="00D6697E" w:rsidP="00D6697E">
      <w:pPr>
        <w:numPr>
          <w:ilvl w:val="0"/>
          <w:numId w:val="9"/>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Determine who holds valuation authority (sponsor vs. independent committee) and the methodology used.</w:t>
      </w:r>
    </w:p>
    <w:p w14:paraId="682C837D" w14:textId="77777777" w:rsidR="00D6697E" w:rsidRPr="009916D3" w:rsidRDefault="00D6697E" w:rsidP="00D6697E">
      <w:pPr>
        <w:numPr>
          <w:ilvl w:val="0"/>
          <w:numId w:val="9"/>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lastRenderedPageBreak/>
        <w:t>Assess whether independent third-party valuation agents are required, whether they are used in practice, and whether their role is advisory or binding.</w:t>
      </w:r>
    </w:p>
    <w:p w14:paraId="0EBD5158" w14:textId="77777777" w:rsidR="00D6697E" w:rsidRPr="009916D3" w:rsidRDefault="00D6697E" w:rsidP="00D6697E">
      <w:pPr>
        <w:numPr>
          <w:ilvl w:val="0"/>
          <w:numId w:val="9"/>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Evaluate the consistency and transparency of methodology, with particular scrutiny of changes in methodology that coincide with periods of market stress or portfolio deterioration.</w:t>
      </w:r>
    </w:p>
    <w:p w14:paraId="0FE644E9" w14:textId="77777777" w:rsidR="00D6697E" w:rsidRPr="009916D3" w:rsidRDefault="00D6697E" w:rsidP="00D6697E">
      <w:pPr>
        <w:numPr>
          <w:ilvl w:val="0"/>
          <w:numId w:val="9"/>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Check whether audited financial statements reflect independent confirmation of reported values, whether audit opinions include qualifications or "emphasis of matter" paragraphs relating to valuation, and whether the timing of audited statements allows for meaningful investor monitoring.</w:t>
      </w:r>
    </w:p>
    <w:p w14:paraId="0FEE4B01" w14:textId="77777777" w:rsidR="00D6697E" w:rsidRPr="009916D3" w:rsidRDefault="00D6697E" w:rsidP="00D6697E">
      <w:pPr>
        <w:numPr>
          <w:ilvl w:val="0"/>
          <w:numId w:val="9"/>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Evaluate valuation as a conflict-of-interest issue given that management fees and carried interest are often calculated on sponsor-influenced NAV.</w:t>
      </w:r>
    </w:p>
    <w:p w14:paraId="43C02D38"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J. Cybersecurity &amp; Wire-Fraud Controls</w:t>
      </w:r>
    </w:p>
    <w:p w14:paraId="3E939E9A" w14:textId="77777777" w:rsidR="00D6697E" w:rsidRPr="009916D3" w:rsidRDefault="00D6697E" w:rsidP="00D6697E">
      <w:pPr>
        <w:numPr>
          <w:ilvl w:val="0"/>
          <w:numId w:val="10"/>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Confirm written cybersecurity policies, employee access controls, incident response procedures, vendor management practices, multifactor authentication requirements, and business continuity plans.</w:t>
      </w:r>
    </w:p>
    <w:p w14:paraId="40384AF1" w14:textId="77777777" w:rsidR="00D6697E" w:rsidRPr="009916D3" w:rsidRDefault="00D6697E" w:rsidP="00D6697E">
      <w:pPr>
        <w:numPr>
          <w:ilvl w:val="0"/>
          <w:numId w:val="10"/>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Confirm wire-transfer safeguards, including whether the sponsor requires verbal verification for changes to wiring instructions, secured investor portals, and employee cybersecurity training.</w:t>
      </w:r>
    </w:p>
    <w:p w14:paraId="4A9FE6F4" w14:textId="77777777" w:rsidR="00D6697E" w:rsidRPr="009916D3" w:rsidRDefault="00D6697E" w:rsidP="00D6697E">
      <w:pPr>
        <w:numPr>
          <w:ilvl w:val="0"/>
          <w:numId w:val="10"/>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Confirm compliance with applicable privacy/data protection rules (e.g., Regulation S-P safeguards).</w:t>
      </w:r>
    </w:p>
    <w:p w14:paraId="736BEB97"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K. Third-Party Service Providers</w:t>
      </w:r>
    </w:p>
    <w:p w14:paraId="0E39EE9A" w14:textId="77777777" w:rsidR="00D6697E" w:rsidRPr="009916D3" w:rsidRDefault="00D6697E" w:rsidP="00D6697E">
      <w:pPr>
        <w:numPr>
          <w:ilvl w:val="0"/>
          <w:numId w:val="1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Identify and assess the independence/quality of fund administrators, auditors, custodians, outside counsel, compliance consultants, tax advisors, and cybersecurity vendors.</w:t>
      </w:r>
    </w:p>
    <w:p w14:paraId="5F834F67" w14:textId="77777777" w:rsidR="00D6697E" w:rsidRPr="009916D3" w:rsidRDefault="00D6697E" w:rsidP="00D6697E">
      <w:pPr>
        <w:numPr>
          <w:ilvl w:val="0"/>
          <w:numId w:val="1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Confirm an independent fund administrator performs accounting, allocation, subscription, and reconciliation functions.</w:t>
      </w:r>
    </w:p>
    <w:p w14:paraId="4B8A0ADE" w14:textId="77777777" w:rsidR="00D6697E" w:rsidRPr="009916D3" w:rsidRDefault="00D6697E" w:rsidP="00D6697E">
      <w:pPr>
        <w:numPr>
          <w:ilvl w:val="0"/>
          <w:numId w:val="1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Evaluate the auditor — whether the fund uses a reputable accounting firm experienced with private funds, and whether audited financial statements are delivered consistently and timely.</w:t>
      </w:r>
    </w:p>
    <w:p w14:paraId="09CFC86F" w14:textId="77777777" w:rsidR="00D6697E" w:rsidRPr="009916D3" w:rsidRDefault="00D6697E" w:rsidP="00D6697E">
      <w:pPr>
        <w:numPr>
          <w:ilvl w:val="0"/>
          <w:numId w:val="1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Examine custody — where assets are held, who controls custody, and whether third-party verification exists; flag affiliated providers.</w:t>
      </w:r>
    </w:p>
    <w:p w14:paraId="0348FF61" w14:textId="77777777" w:rsidR="00D6697E" w:rsidRPr="009916D3" w:rsidRDefault="00D6697E" w:rsidP="00D6697E">
      <w:pPr>
        <w:numPr>
          <w:ilvl w:val="0"/>
          <w:numId w:val="11"/>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Investigate frequent changes in auditors, administrators, or legal counsel and the reasons for transitions.</w:t>
      </w:r>
    </w:p>
    <w:p w14:paraId="2279D06E"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L. Business Continuity &amp; Key-Person Risk</w:t>
      </w:r>
    </w:p>
    <w:p w14:paraId="363DDB8A" w14:textId="77777777" w:rsidR="00D6697E" w:rsidRPr="009916D3" w:rsidRDefault="00D6697E" w:rsidP="00D6697E">
      <w:pPr>
        <w:numPr>
          <w:ilvl w:val="0"/>
          <w:numId w:val="12"/>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Confirm BCP/DR plans addressing operational disruptions, cybersecurity events, natural disasters, technology failures, and personnel interruptions.</w:t>
      </w:r>
    </w:p>
    <w:p w14:paraId="7E1C03DD" w14:textId="77777777" w:rsidR="00D6697E" w:rsidRPr="009916D3" w:rsidRDefault="00D6697E" w:rsidP="00D6697E">
      <w:pPr>
        <w:numPr>
          <w:ilvl w:val="0"/>
          <w:numId w:val="12"/>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Assess key-person risk, including the depth of the sponsor's bench, succession planning, and the extent to which critical functions are concentrated in a single individual.</w:t>
      </w:r>
    </w:p>
    <w:p w14:paraId="13CD211C"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M. Regulatory, Litigation &amp; Background History</w:t>
      </w:r>
    </w:p>
    <w:p w14:paraId="3F7BF155" w14:textId="77777777" w:rsidR="00D6697E" w:rsidRPr="009916D3" w:rsidRDefault="00D6697E" w:rsidP="00D6697E">
      <w:pPr>
        <w:numPr>
          <w:ilvl w:val="0"/>
          <w:numId w:val="1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Review the sponsor's history through Form ADV filings, public enforcement records, litigation disclosures, bankruptcy filings, and disciplinary history involving key principals.</w:t>
      </w:r>
    </w:p>
    <w:p w14:paraId="10E632A2" w14:textId="77777777" w:rsidR="00D6697E" w:rsidRPr="009916D3" w:rsidRDefault="00D6697E" w:rsidP="00D6697E">
      <w:pPr>
        <w:numPr>
          <w:ilvl w:val="0"/>
          <w:numId w:val="1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Ask directly about prior SEC examinations, deficiency letters, cybersecurity incidents, operational failures, valuation disputes, investor complaints, and pending litigation.</w:t>
      </w:r>
    </w:p>
    <w:p w14:paraId="6A3121C7" w14:textId="77777777" w:rsidR="00D6697E" w:rsidRPr="009916D3" w:rsidRDefault="00D6697E" w:rsidP="00D6697E">
      <w:pPr>
        <w:numPr>
          <w:ilvl w:val="0"/>
          <w:numId w:val="13"/>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lastRenderedPageBreak/>
        <w:t>Conduct background checks on principals; evaluate the nature of any issues and how the sponsor responded, recognizing that the absence of disclosed enforcement history does not mean no concerns exist.</w:t>
      </w:r>
    </w:p>
    <w:p w14:paraId="79E9C095" w14:textId="77777777" w:rsidR="00D6697E" w:rsidRPr="009916D3" w:rsidRDefault="00000000" w:rsidP="00D6697E">
      <w:pPr>
        <w:spacing w:after="0" w:line="240" w:lineRule="auto"/>
        <w:rPr>
          <w:rFonts w:ascii="Calibri" w:eastAsia="Times New Roman" w:hAnsi="Calibri" w:cs="Times New Roman"/>
          <w:kern w:val="0"/>
          <w:sz w:val="22"/>
          <w14:ligatures w14:val="none"/>
        </w:rPr>
      </w:pPr>
      <w:r>
        <w:rPr>
          <w:rFonts w:ascii="Calibri" w:eastAsia="Times New Roman" w:hAnsi="Calibri" w:cs="Times New Roman"/>
          <w:kern w:val="0"/>
          <w:sz w:val="22"/>
          <w14:ligatures w14:val="none"/>
        </w:rPr>
        <w:pict w14:anchorId="1A928C6C">
          <v:rect id="_x0000_i1026" style="width:0;height:1.5pt" o:hralign="center" o:hrstd="t" o:hr="t" fillcolor="#a0a0a0" stroked="f"/>
        </w:pict>
      </w:r>
    </w:p>
    <w:p w14:paraId="178E068C" w14:textId="329606F9" w:rsidR="00D6697E" w:rsidRPr="009916D3" w:rsidRDefault="00D6697E" w:rsidP="00D6697E">
      <w:pPr>
        <w:spacing w:before="100" w:beforeAutospacing="1" w:after="100" w:afterAutospacing="1" w:line="240" w:lineRule="auto"/>
        <w:outlineLvl w:val="1"/>
        <w:rPr>
          <w:rFonts w:ascii="Calibri" w:eastAsia="Times New Roman" w:hAnsi="Calibri" w:cs="Times New Roman"/>
          <w:b/>
          <w:bCs/>
          <w:kern w:val="0"/>
          <w:sz w:val="22"/>
          <w:szCs w:val="36"/>
          <w14:ligatures w14:val="none"/>
        </w:rPr>
      </w:pPr>
      <w:r w:rsidRPr="009916D3">
        <w:rPr>
          <w:rFonts w:ascii="Calibri" w:eastAsia="Times New Roman" w:hAnsi="Calibri" w:cs="Times New Roman"/>
          <w:b/>
          <w:bCs/>
          <w:kern w:val="0"/>
          <w:sz w:val="22"/>
          <w:szCs w:val="36"/>
          <w14:ligatures w14:val="none"/>
        </w:rPr>
        <w:t>PART III</w:t>
      </w:r>
      <w:r w:rsidR="0003000E">
        <w:rPr>
          <w:rFonts w:ascii="Calibri" w:eastAsia="Times New Roman" w:hAnsi="Calibri" w:cs="Times New Roman"/>
          <w:b/>
          <w:bCs/>
          <w:kern w:val="0"/>
          <w:sz w:val="22"/>
          <w:szCs w:val="36"/>
          <w14:ligatures w14:val="none"/>
        </w:rPr>
        <w:t>:</w:t>
      </w:r>
      <w:r w:rsidRPr="009916D3">
        <w:rPr>
          <w:rFonts w:ascii="Calibri" w:eastAsia="Times New Roman" w:hAnsi="Calibri" w:cs="Times New Roman"/>
          <w:b/>
          <w:bCs/>
          <w:kern w:val="0"/>
          <w:sz w:val="22"/>
          <w:szCs w:val="36"/>
          <w14:ligatures w14:val="none"/>
        </w:rPr>
        <w:t xml:space="preserve"> PROCESS, DOCUMENTATION &amp; ONGOING MONITORING</w:t>
      </w:r>
    </w:p>
    <w:p w14:paraId="3E9DEA6C"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N. Documentation of the Diligence Process</w:t>
      </w:r>
    </w:p>
    <w:p w14:paraId="4B37089A" w14:textId="77777777" w:rsidR="00D6697E" w:rsidRPr="009916D3" w:rsidRDefault="00D6697E" w:rsidP="00D6697E">
      <w:pPr>
        <w:numPr>
          <w:ilvl w:val="0"/>
          <w:numId w:val="14"/>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Maintain records reflecting what documents were reviewed, what material risks were identified, how concerns were evaluated, and how the recommendation was determined to be appropriate for the client.</w:t>
      </w:r>
    </w:p>
    <w:p w14:paraId="1951CDD8" w14:textId="77777777" w:rsidR="00D6697E" w:rsidRPr="009916D3" w:rsidRDefault="00D6697E" w:rsidP="00D6697E">
      <w:pPr>
        <w:numPr>
          <w:ilvl w:val="0"/>
          <w:numId w:val="14"/>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Avoid mechanical box-checking; due diligence conducted mechanically, without genuine engagement with how legal terms and operational controls function in practice, will not satisfy the fiduciary standard.</w:t>
      </w:r>
    </w:p>
    <w:p w14:paraId="72529F66" w14:textId="77777777" w:rsidR="00D6697E" w:rsidRPr="009916D3" w:rsidRDefault="00D6697E" w:rsidP="00D6697E">
      <w:pPr>
        <w:numPr>
          <w:ilvl w:val="0"/>
          <w:numId w:val="14"/>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Use follow-up tools where written materials are insufficient — site visits, virtual operational meetings, and direct conversations with operational staff.</w:t>
      </w:r>
    </w:p>
    <w:p w14:paraId="66B9F447"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O. Use of Outside Specialists</w:t>
      </w:r>
    </w:p>
    <w:p w14:paraId="06DD3B1D" w14:textId="77777777" w:rsidR="00D6697E" w:rsidRPr="009916D3" w:rsidRDefault="00D6697E" w:rsidP="00D6697E">
      <w:pPr>
        <w:numPr>
          <w:ilvl w:val="0"/>
          <w:numId w:val="15"/>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Where internal expertise is limited, engage qualified third parties (law firms, operational diligence specialists, compliance consultants), recognizing that delegation of specific diligence components to qualified professionals is appropriate and, in many cases, necessary. Yet it does not transfer the adviser's ultimate fiduciary responsibility.</w:t>
      </w:r>
    </w:p>
    <w:p w14:paraId="7031698D" w14:textId="77777777" w:rsidR="00D6697E" w:rsidRPr="009916D3" w:rsidRDefault="00D6697E" w:rsidP="00D6697E">
      <w:pPr>
        <w:numPr>
          <w:ilvl w:val="0"/>
          <w:numId w:val="15"/>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Ensure the adviser understands the conclusions and integrates them into the recommendation.</w:t>
      </w:r>
    </w:p>
    <w:p w14:paraId="32AB31E5" w14:textId="77777777" w:rsidR="00D6697E" w:rsidRPr="009916D3" w:rsidRDefault="00D6697E" w:rsidP="00D6697E">
      <w:pPr>
        <w:spacing w:before="100" w:beforeAutospacing="1" w:after="100" w:afterAutospacing="1" w:line="240" w:lineRule="auto"/>
        <w:outlineLvl w:val="2"/>
        <w:rPr>
          <w:rFonts w:ascii="Calibri" w:eastAsia="Times New Roman" w:hAnsi="Calibri" w:cs="Times New Roman"/>
          <w:b/>
          <w:bCs/>
          <w:kern w:val="0"/>
          <w:sz w:val="22"/>
          <w:szCs w:val="27"/>
          <w14:ligatures w14:val="none"/>
        </w:rPr>
      </w:pPr>
      <w:r w:rsidRPr="009916D3">
        <w:rPr>
          <w:rFonts w:ascii="Calibri" w:eastAsia="Times New Roman" w:hAnsi="Calibri" w:cs="Times New Roman"/>
          <w:b/>
          <w:bCs/>
          <w:kern w:val="0"/>
          <w:sz w:val="22"/>
          <w:szCs w:val="27"/>
          <w14:ligatures w14:val="none"/>
        </w:rPr>
        <w:t>P. Suitability &amp; Ongoing Monitoring</w:t>
      </w:r>
    </w:p>
    <w:p w14:paraId="6CA5F8C7" w14:textId="77777777" w:rsidR="00D6697E" w:rsidRPr="009916D3" w:rsidRDefault="00D6697E" w:rsidP="00D6697E">
      <w:pPr>
        <w:numPr>
          <w:ilvl w:val="0"/>
          <w:numId w:val="16"/>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Document the suitability analysis for the specific client's circumstances, liquidity needs, and overall portfolio construction.</w:t>
      </w:r>
    </w:p>
    <w:p w14:paraId="3645DB49" w14:textId="77777777" w:rsidR="00D6697E" w:rsidRPr="009916D3" w:rsidRDefault="00D6697E" w:rsidP="00D6697E">
      <w:pPr>
        <w:numPr>
          <w:ilvl w:val="0"/>
          <w:numId w:val="16"/>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Implement structured periodic review procedures for private fund holdings, including updated diligence questionnaires, annual review of audited financial statements, monitoring of SEC filings and litigation developments, assessment of changes in key service providers, and reassessment of fund conditions in light of any material operational changes.</w:t>
      </w:r>
    </w:p>
    <w:p w14:paraId="5961DE61" w14:textId="5907C5A7" w:rsidR="005A3D06" w:rsidRPr="009E622B" w:rsidRDefault="00D6697E" w:rsidP="00D6697E">
      <w:pPr>
        <w:numPr>
          <w:ilvl w:val="0"/>
          <w:numId w:val="16"/>
        </w:numPr>
        <w:spacing w:before="100" w:beforeAutospacing="1" w:after="100" w:afterAutospacing="1" w:line="240" w:lineRule="auto"/>
        <w:rPr>
          <w:rFonts w:ascii="Calibri" w:eastAsia="Times New Roman" w:hAnsi="Calibri" w:cs="Times New Roman"/>
          <w:kern w:val="0"/>
          <w:sz w:val="22"/>
          <w14:ligatures w14:val="none"/>
        </w:rPr>
      </w:pPr>
      <w:r w:rsidRPr="009916D3">
        <w:rPr>
          <w:rFonts w:ascii="Calibri" w:eastAsia="Times New Roman" w:hAnsi="Calibri" w:cs="Times New Roman"/>
          <w:kern w:val="0"/>
          <w:sz w:val="22"/>
          <w14:ligatures w14:val="none"/>
        </w:rPr>
        <w:t>For closed-end/illiquid funds, do not assume monitoring is unnecessary — the inability to exit does not suspend the duty of care</w:t>
      </w:r>
      <w:r w:rsidR="003D284D">
        <w:rPr>
          <w:rFonts w:ascii="Calibri" w:eastAsia="Times New Roman" w:hAnsi="Calibri" w:cs="Times New Roman"/>
          <w:kern w:val="0"/>
          <w:sz w:val="22"/>
          <w14:ligatures w14:val="none"/>
        </w:rPr>
        <w:t>:</w:t>
      </w:r>
      <w:r w:rsidRPr="009916D3">
        <w:rPr>
          <w:rFonts w:ascii="Calibri" w:eastAsia="Times New Roman" w:hAnsi="Calibri" w:cs="Times New Roman"/>
          <w:kern w:val="0"/>
          <w:sz w:val="22"/>
          <w14:ligatures w14:val="none"/>
        </w:rPr>
        <w:t xml:space="preserve"> it intensifies the importance of monitoring, including evaluating secondary market options, transfer rights, and co-investor collective action mechanisms.</w:t>
      </w:r>
    </w:p>
    <w:sectPr w:rsidR="005A3D06" w:rsidRPr="009E62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9265" w14:textId="77777777" w:rsidR="00085134" w:rsidRDefault="00085134" w:rsidP="00D03A5C">
      <w:pPr>
        <w:spacing w:after="0" w:line="240" w:lineRule="auto"/>
      </w:pPr>
      <w:r>
        <w:separator/>
      </w:r>
    </w:p>
  </w:endnote>
  <w:endnote w:type="continuationSeparator" w:id="0">
    <w:p w14:paraId="7B3B4B6C" w14:textId="77777777" w:rsidR="00085134" w:rsidRDefault="00085134" w:rsidP="00D0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D0114" w14:textId="1C80A088" w:rsidR="00D03A5C" w:rsidRPr="00D03A5C" w:rsidRDefault="00D03A5C">
    <w:pPr>
      <w:pStyle w:val="Footer"/>
      <w:rPr>
        <w:sz w:val="16"/>
        <w:szCs w:val="16"/>
      </w:rPr>
    </w:pPr>
    <w:r w:rsidRPr="00D03A5C">
      <w:rPr>
        <w:sz w:val="16"/>
        <w:szCs w:val="16"/>
      </w:rPr>
      <w:t>Provided by Richard Chen for Kitces.com</w:t>
    </w:r>
  </w:p>
  <w:p w14:paraId="198FEE03" w14:textId="0E04B097" w:rsidR="00D03A5C" w:rsidRDefault="00D03A5C">
    <w:pPr>
      <w:pStyle w:val="Footer"/>
      <w:rPr>
        <w:sz w:val="16"/>
        <w:szCs w:val="16"/>
      </w:rPr>
    </w:pPr>
    <w:r w:rsidRPr="00D03A5C">
      <w:rPr>
        <w:sz w:val="16"/>
        <w:szCs w:val="16"/>
      </w:rPr>
      <w:t>Read more in the article “</w:t>
    </w:r>
    <w:r w:rsidRPr="00D03A5C">
      <w:rPr>
        <w:sz w:val="16"/>
        <w:szCs w:val="16"/>
      </w:rPr>
      <w:t xml:space="preserve">Private Fund Due Diligence: A Checklist </w:t>
    </w:r>
    <w:proofErr w:type="gramStart"/>
    <w:r w:rsidRPr="00D03A5C">
      <w:rPr>
        <w:sz w:val="16"/>
        <w:szCs w:val="16"/>
      </w:rPr>
      <w:t>For</w:t>
    </w:r>
    <w:proofErr w:type="gramEnd"/>
    <w:r w:rsidRPr="00D03A5C">
      <w:rPr>
        <w:sz w:val="16"/>
        <w:szCs w:val="16"/>
      </w:rPr>
      <w:t xml:space="preserve"> Reviewing Governing Documents </w:t>
    </w:r>
    <w:proofErr w:type="gramStart"/>
    <w:r w:rsidRPr="00D03A5C">
      <w:rPr>
        <w:sz w:val="16"/>
        <w:szCs w:val="16"/>
      </w:rPr>
      <w:t>And</w:t>
    </w:r>
    <w:proofErr w:type="gramEnd"/>
    <w:r w:rsidRPr="00D03A5C">
      <w:rPr>
        <w:sz w:val="16"/>
        <w:szCs w:val="16"/>
      </w:rPr>
      <w:t xml:space="preserve"> Operational Controls</w:t>
    </w:r>
    <w:r w:rsidRPr="00D03A5C">
      <w:rPr>
        <w:sz w:val="16"/>
        <w:szCs w:val="16"/>
      </w:rPr>
      <w:t>”</w:t>
    </w:r>
  </w:p>
  <w:p w14:paraId="5A1C211F" w14:textId="56C62744" w:rsidR="00D03A5C" w:rsidRPr="00D03A5C" w:rsidRDefault="00D03A5C">
    <w:pPr>
      <w:pStyle w:val="Footer"/>
      <w:rPr>
        <w:sz w:val="16"/>
        <w:szCs w:val="16"/>
      </w:rPr>
    </w:pPr>
    <w:r>
      <w:rPr>
        <w:sz w:val="16"/>
        <w:szCs w:val="16"/>
      </w:rPr>
      <w:t xml:space="preserve">at </w:t>
    </w:r>
    <w:hyperlink r:id="rId1" w:history="1">
      <w:r w:rsidRPr="00D03A5C">
        <w:rPr>
          <w:rStyle w:val="Hyperlink"/>
          <w:sz w:val="16"/>
          <w:szCs w:val="16"/>
        </w:rPr>
        <w:t>kitces.com/private-fund-due-diligence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EE775" w14:textId="77777777" w:rsidR="00085134" w:rsidRDefault="00085134" w:rsidP="00D03A5C">
      <w:pPr>
        <w:spacing w:after="0" w:line="240" w:lineRule="auto"/>
      </w:pPr>
      <w:r>
        <w:separator/>
      </w:r>
    </w:p>
  </w:footnote>
  <w:footnote w:type="continuationSeparator" w:id="0">
    <w:p w14:paraId="060B7E19" w14:textId="77777777" w:rsidR="00085134" w:rsidRDefault="00085134" w:rsidP="00D03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276E8"/>
    <w:multiLevelType w:val="multilevel"/>
    <w:tmpl w:val="F81A9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66783"/>
    <w:multiLevelType w:val="multilevel"/>
    <w:tmpl w:val="C9C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B4471"/>
    <w:multiLevelType w:val="multilevel"/>
    <w:tmpl w:val="E6EE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0E70B9"/>
    <w:multiLevelType w:val="multilevel"/>
    <w:tmpl w:val="7EB8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75410"/>
    <w:multiLevelType w:val="multilevel"/>
    <w:tmpl w:val="7AFE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073703"/>
    <w:multiLevelType w:val="multilevel"/>
    <w:tmpl w:val="6298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41460A"/>
    <w:multiLevelType w:val="multilevel"/>
    <w:tmpl w:val="65A8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A62E27"/>
    <w:multiLevelType w:val="multilevel"/>
    <w:tmpl w:val="9C0A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CB020B"/>
    <w:multiLevelType w:val="multilevel"/>
    <w:tmpl w:val="00A89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70788A"/>
    <w:multiLevelType w:val="multilevel"/>
    <w:tmpl w:val="4686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CB4CDB"/>
    <w:multiLevelType w:val="multilevel"/>
    <w:tmpl w:val="7876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053DA9"/>
    <w:multiLevelType w:val="multilevel"/>
    <w:tmpl w:val="8418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140195"/>
    <w:multiLevelType w:val="multilevel"/>
    <w:tmpl w:val="ADAE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5D19F9"/>
    <w:multiLevelType w:val="multilevel"/>
    <w:tmpl w:val="1F50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C614EF"/>
    <w:multiLevelType w:val="multilevel"/>
    <w:tmpl w:val="8FC6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E0647A"/>
    <w:multiLevelType w:val="multilevel"/>
    <w:tmpl w:val="D052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152412">
    <w:abstractNumId w:val="7"/>
  </w:num>
  <w:num w:numId="2" w16cid:durableId="534271240">
    <w:abstractNumId w:val="0"/>
  </w:num>
  <w:num w:numId="3" w16cid:durableId="442578442">
    <w:abstractNumId w:val="9"/>
  </w:num>
  <w:num w:numId="4" w16cid:durableId="364059820">
    <w:abstractNumId w:val="8"/>
  </w:num>
  <w:num w:numId="5" w16cid:durableId="1774981845">
    <w:abstractNumId w:val="5"/>
  </w:num>
  <w:num w:numId="6" w16cid:durableId="1013722393">
    <w:abstractNumId w:val="2"/>
  </w:num>
  <w:num w:numId="7" w16cid:durableId="1188445682">
    <w:abstractNumId w:val="10"/>
  </w:num>
  <w:num w:numId="8" w16cid:durableId="296186482">
    <w:abstractNumId w:val="4"/>
  </w:num>
  <w:num w:numId="9" w16cid:durableId="669412932">
    <w:abstractNumId w:val="11"/>
  </w:num>
  <w:num w:numId="10" w16cid:durableId="1580751740">
    <w:abstractNumId w:val="14"/>
  </w:num>
  <w:num w:numId="11" w16cid:durableId="1122962768">
    <w:abstractNumId w:val="12"/>
  </w:num>
  <w:num w:numId="12" w16cid:durableId="1455177335">
    <w:abstractNumId w:val="13"/>
  </w:num>
  <w:num w:numId="13" w16cid:durableId="151533357">
    <w:abstractNumId w:val="1"/>
  </w:num>
  <w:num w:numId="14" w16cid:durableId="2061859809">
    <w:abstractNumId w:val="15"/>
  </w:num>
  <w:num w:numId="15" w16cid:durableId="563413616">
    <w:abstractNumId w:val="6"/>
  </w:num>
  <w:num w:numId="16" w16cid:durableId="2113620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A36"/>
    <w:rsid w:val="0003000E"/>
    <w:rsid w:val="000549F5"/>
    <w:rsid w:val="00085134"/>
    <w:rsid w:val="003D284D"/>
    <w:rsid w:val="0045743A"/>
    <w:rsid w:val="00545A36"/>
    <w:rsid w:val="005A3D06"/>
    <w:rsid w:val="005B223A"/>
    <w:rsid w:val="00624001"/>
    <w:rsid w:val="00742D47"/>
    <w:rsid w:val="0078118E"/>
    <w:rsid w:val="007D27D6"/>
    <w:rsid w:val="008979C4"/>
    <w:rsid w:val="009916D3"/>
    <w:rsid w:val="009E622B"/>
    <w:rsid w:val="00A75AF8"/>
    <w:rsid w:val="00AA191C"/>
    <w:rsid w:val="00B469D1"/>
    <w:rsid w:val="00B70C5E"/>
    <w:rsid w:val="00B92E49"/>
    <w:rsid w:val="00CD56D7"/>
    <w:rsid w:val="00D03A5C"/>
    <w:rsid w:val="00D6697E"/>
    <w:rsid w:val="00DA706C"/>
    <w:rsid w:val="00EC3916"/>
    <w:rsid w:val="00FC65B3"/>
    <w:rsid w:val="00FF4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6B9F"/>
  <w15:chartTrackingRefBased/>
  <w15:docId w15:val="{5CF48B2F-F387-4EC5-BB1A-CF9C955B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5A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45A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45A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5A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5A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5A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5A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5A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5A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45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45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5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5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5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5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5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5A36"/>
    <w:rPr>
      <w:rFonts w:eastAsiaTheme="majorEastAsia" w:cstheme="majorBidi"/>
      <w:color w:val="272727" w:themeColor="text1" w:themeTint="D8"/>
    </w:rPr>
  </w:style>
  <w:style w:type="paragraph" w:styleId="Title">
    <w:name w:val="Title"/>
    <w:basedOn w:val="Normal"/>
    <w:next w:val="Normal"/>
    <w:link w:val="TitleChar"/>
    <w:uiPriority w:val="10"/>
    <w:qFormat/>
    <w:rsid w:val="00545A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5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A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5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5A36"/>
    <w:pPr>
      <w:spacing w:before="160"/>
      <w:jc w:val="center"/>
    </w:pPr>
    <w:rPr>
      <w:i/>
      <w:iCs/>
      <w:color w:val="404040" w:themeColor="text1" w:themeTint="BF"/>
    </w:rPr>
  </w:style>
  <w:style w:type="character" w:customStyle="1" w:styleId="QuoteChar">
    <w:name w:val="Quote Char"/>
    <w:basedOn w:val="DefaultParagraphFont"/>
    <w:link w:val="Quote"/>
    <w:uiPriority w:val="29"/>
    <w:rsid w:val="00545A36"/>
    <w:rPr>
      <w:i/>
      <w:iCs/>
      <w:color w:val="404040" w:themeColor="text1" w:themeTint="BF"/>
    </w:rPr>
  </w:style>
  <w:style w:type="paragraph" w:styleId="ListParagraph">
    <w:name w:val="List Paragraph"/>
    <w:basedOn w:val="Normal"/>
    <w:uiPriority w:val="34"/>
    <w:qFormat/>
    <w:rsid w:val="00545A36"/>
    <w:pPr>
      <w:ind w:left="720"/>
      <w:contextualSpacing/>
    </w:pPr>
  </w:style>
  <w:style w:type="character" w:styleId="IntenseEmphasis">
    <w:name w:val="Intense Emphasis"/>
    <w:basedOn w:val="DefaultParagraphFont"/>
    <w:uiPriority w:val="21"/>
    <w:qFormat/>
    <w:rsid w:val="00545A36"/>
    <w:rPr>
      <w:i/>
      <w:iCs/>
      <w:color w:val="0F4761" w:themeColor="accent1" w:themeShade="BF"/>
    </w:rPr>
  </w:style>
  <w:style w:type="paragraph" w:styleId="IntenseQuote">
    <w:name w:val="Intense Quote"/>
    <w:basedOn w:val="Normal"/>
    <w:next w:val="Normal"/>
    <w:link w:val="IntenseQuoteChar"/>
    <w:uiPriority w:val="30"/>
    <w:qFormat/>
    <w:rsid w:val="00545A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5A36"/>
    <w:rPr>
      <w:i/>
      <w:iCs/>
      <w:color w:val="0F4761" w:themeColor="accent1" w:themeShade="BF"/>
    </w:rPr>
  </w:style>
  <w:style w:type="character" w:styleId="IntenseReference">
    <w:name w:val="Intense Reference"/>
    <w:basedOn w:val="DefaultParagraphFont"/>
    <w:uiPriority w:val="32"/>
    <w:qFormat/>
    <w:rsid w:val="00545A36"/>
    <w:rPr>
      <w:b/>
      <w:bCs/>
      <w:smallCaps/>
      <w:color w:val="0F4761" w:themeColor="accent1" w:themeShade="BF"/>
      <w:spacing w:val="5"/>
    </w:rPr>
  </w:style>
  <w:style w:type="paragraph" w:customStyle="1" w:styleId="task-list-item">
    <w:name w:val="task-list-item"/>
    <w:basedOn w:val="Normal"/>
    <w:rsid w:val="00D6697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6697E"/>
    <w:rPr>
      <w:b/>
      <w:bCs/>
    </w:rPr>
  </w:style>
  <w:style w:type="paragraph" w:styleId="Header">
    <w:name w:val="header"/>
    <w:basedOn w:val="Normal"/>
    <w:link w:val="HeaderChar"/>
    <w:uiPriority w:val="99"/>
    <w:unhideWhenUsed/>
    <w:rsid w:val="00D03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A5C"/>
  </w:style>
  <w:style w:type="paragraph" w:styleId="Footer">
    <w:name w:val="footer"/>
    <w:basedOn w:val="Normal"/>
    <w:link w:val="FooterChar"/>
    <w:uiPriority w:val="99"/>
    <w:unhideWhenUsed/>
    <w:rsid w:val="00D03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A5C"/>
  </w:style>
  <w:style w:type="character" w:styleId="Hyperlink">
    <w:name w:val="Hyperlink"/>
    <w:basedOn w:val="DefaultParagraphFont"/>
    <w:uiPriority w:val="99"/>
    <w:unhideWhenUsed/>
    <w:rsid w:val="00D03A5C"/>
    <w:rPr>
      <w:color w:val="467886" w:themeColor="hyperlink"/>
      <w:u w:val="single"/>
    </w:rPr>
  </w:style>
  <w:style w:type="character" w:styleId="UnresolvedMention">
    <w:name w:val="Unresolved Mention"/>
    <w:basedOn w:val="DefaultParagraphFont"/>
    <w:uiPriority w:val="99"/>
    <w:semiHidden/>
    <w:unhideWhenUsed/>
    <w:rsid w:val="00D03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kitces.com/blog/private-equity-debt-fund-due-diligence-checklist-ria-fiduciary-governing-documents-oper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CCBCFD-E0FB-405D-9C4B-3F7665FE2C87}">
  <we:reference id="WA200004774" version="1.7.0.0" store="Omex" storeType="OMEX"/>
  <we:alternateReferences>
    <we:reference id="WA200004774" version="1.7.0.0" store="WA200004774" storeType="OMEX"/>
  </we:alternateReferences>
  <we:properties>
    <we:property name="documentId" value="&quot;0b172711-7e2a-4b5e-8c5d-d71d0df3eee4&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a18ff1-9148-4a63-9bb5-69bf1f8721d3">
      <Terms xmlns="http://schemas.microsoft.com/office/infopath/2007/PartnerControls"/>
    </lcf76f155ced4ddcb4097134ff3c332f>
    <TaxCatchAll xmlns="0586afe6-2814-4cb5-92c4-af72f2aea3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932D408BF91848964C9A72B99A6DAF" ma:contentTypeVersion="14" ma:contentTypeDescription="Create a new document." ma:contentTypeScope="" ma:versionID="71910a74109a854b9c8c8710c4d5b96d">
  <xsd:schema xmlns:xsd="http://www.w3.org/2001/XMLSchema" xmlns:xs="http://www.w3.org/2001/XMLSchema" xmlns:p="http://schemas.microsoft.com/office/2006/metadata/properties" xmlns:ns2="0586afe6-2814-4cb5-92c4-af72f2aea325" xmlns:ns3="4ba18ff1-9148-4a63-9bb5-69bf1f8721d3" targetNamespace="http://schemas.microsoft.com/office/2006/metadata/properties" ma:root="true" ma:fieldsID="5d4588bac14b6dfcc2da34d8909e8f4f" ns2:_="" ns3:_="">
    <xsd:import namespace="0586afe6-2814-4cb5-92c4-af72f2aea325"/>
    <xsd:import namespace="4ba18ff1-9148-4a63-9bb5-69bf1f8721d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86afe6-2814-4cb5-92c4-af72f2aea3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868871-36f6-400f-8f35-7bb0f0ee22e0}" ma:internalName="TaxCatchAll" ma:showField="CatchAllData" ma:web="0586afe6-2814-4cb5-92c4-af72f2aea3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8ff1-9148-4a63-9bb5-69bf1f8721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945071-b0b2-41b6-a98a-e3d949953fd0"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E58D2-9216-48E0-99A5-38E06F4CA489}">
  <ds:schemaRefs>
    <ds:schemaRef ds:uri="http://schemas.microsoft.com/office/2006/metadata/properties"/>
    <ds:schemaRef ds:uri="http://schemas.microsoft.com/office/infopath/2007/PartnerControls"/>
    <ds:schemaRef ds:uri="4ba18ff1-9148-4a63-9bb5-69bf1f8721d3"/>
    <ds:schemaRef ds:uri="0586afe6-2814-4cb5-92c4-af72f2aea325"/>
  </ds:schemaRefs>
</ds:datastoreItem>
</file>

<file path=customXml/itemProps2.xml><?xml version="1.0" encoding="utf-8"?>
<ds:datastoreItem xmlns:ds="http://schemas.openxmlformats.org/officeDocument/2006/customXml" ds:itemID="{077A318F-6437-4834-BC5F-CF5116B9481E}">
  <ds:schemaRefs>
    <ds:schemaRef ds:uri="http://schemas.microsoft.com/sharepoint/v3/contenttype/forms"/>
  </ds:schemaRefs>
</ds:datastoreItem>
</file>

<file path=customXml/itemProps3.xml><?xml version="1.0" encoding="utf-8"?>
<ds:datastoreItem xmlns:ds="http://schemas.openxmlformats.org/officeDocument/2006/customXml" ds:itemID="{85F44151-8665-4003-A04C-CFF61B658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86afe6-2814-4cb5-92c4-af72f2aea325"/>
    <ds:schemaRef ds:uri="4ba18ff1-9148-4a63-9bb5-69bf1f8721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1929</Words>
  <Characters>11001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Chen</dc:creator>
  <cp:keywords/>
  <dc:description/>
  <cp:lastModifiedBy>Estelle Di Francia</cp:lastModifiedBy>
  <cp:revision>7</cp:revision>
  <dcterms:created xsi:type="dcterms:W3CDTF">2026-06-26T12:09:00Z</dcterms:created>
  <dcterms:modified xsi:type="dcterms:W3CDTF">2026-06-30T22:48:00Z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0x010100E6932D408BF91848964C9A72B99A6DAF</vt:lpwstr>
  </property>
</Properties>
</file>