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E046" w14:textId="5FDA6BFE" w:rsidR="00CD25F3" w:rsidRPr="00333BCC" w:rsidRDefault="00333BCC">
      <w:r w:rsidRPr="00333BCC">
        <w:t xml:space="preserve">Presentation: </w:t>
      </w:r>
      <w:r>
        <w:br/>
      </w:r>
      <w:r w:rsidR="00072DF6" w:rsidRPr="00333BCC">
        <w:t>Accelerating Growth</w:t>
      </w:r>
      <w:r w:rsidR="00D84B37">
        <w:t xml:space="preserve"> And Improving Client Transparency</w:t>
      </w:r>
      <w:r w:rsidR="00072DF6" w:rsidRPr="00333BCC">
        <w:t xml:space="preserve"> By </w:t>
      </w:r>
      <w:r w:rsidR="00D84B37">
        <w:t>Communicating</w:t>
      </w:r>
      <w:r w:rsidR="00D84B37" w:rsidRPr="00333BCC">
        <w:t xml:space="preserve"> </w:t>
      </w:r>
      <w:r w:rsidR="00072DF6" w:rsidRPr="00333BCC">
        <w:t>How You’re Different (Instead Of Better)</w:t>
      </w:r>
    </w:p>
    <w:p w14:paraId="0DF1B491" w14:textId="77777777" w:rsidR="00333BCC" w:rsidRDefault="00333BCC"/>
    <w:p w14:paraId="38CA2FAD" w14:textId="6CCCCB23" w:rsidR="00396354" w:rsidRPr="00072DF6" w:rsidRDefault="00333BCC" w:rsidP="373FCF8B">
      <w:pPr>
        <w:rPr>
          <w:rFonts w:ascii="Calibri" w:eastAsia="Calibri" w:hAnsi="Calibri" w:cs="Calibri"/>
          <w:b/>
          <w:bCs/>
          <w:color w:val="000000" w:themeColor="text1"/>
        </w:rPr>
      </w:pPr>
      <w:r>
        <w:br/>
        <w:t xml:space="preserve">Presenter: </w:t>
      </w:r>
      <w:r>
        <w:br/>
        <w:t>Adam Van Deusen, CFP®, is the Associate Financial Planning Nerd at </w:t>
      </w:r>
      <w:hyperlink r:id="rId8">
        <w:r w:rsidRPr="373FCF8B">
          <w:rPr>
            <w:rStyle w:val="Hyperlink"/>
          </w:rPr>
          <w:t>Kitces.com</w:t>
        </w:r>
      </w:hyperlink>
      <w:r>
        <w:t>, where he writes on practice management and technical topics for the Nerd's Eye View blog, with a particular interest in how advisors can show their ongoing value to prospective and current clients. In addition</w:t>
      </w:r>
      <w:r w:rsidR="00C44CD0">
        <w:t xml:space="preserve"> to hosting live events on the Kitces platform</w:t>
      </w:r>
      <w:r>
        <w:t xml:space="preserve">, </w:t>
      </w:r>
      <w:r w:rsidR="00C44CD0">
        <w:t>Adam</w:t>
      </w:r>
      <w:r>
        <w:t xml:space="preserve"> writes the popular weekly Weekend Reading For Financial Planners. His work has appeared in the Investments &amp; Wealth Monitor and TheStreet, among other publications. </w:t>
      </w:r>
      <w:r>
        <w:br/>
        <w:t> </w:t>
      </w:r>
      <w:r>
        <w:br/>
        <w:t>Adam previously worked at a financial planning firm in the Washington, D.C., area and as a journalist covering the banking and insurance industries. In addition to his work with </w:t>
      </w:r>
      <w:hyperlink r:id="rId9">
        <w:r w:rsidRPr="373FCF8B">
          <w:rPr>
            <w:rStyle w:val="Hyperlink"/>
          </w:rPr>
          <w:t>Kitces.com</w:t>
        </w:r>
      </w:hyperlink>
      <w:r>
        <w:t>, he serves as a volunteer financial planner and financial literacy class instructor for local non-profits. </w:t>
      </w:r>
      <w:r>
        <w:br/>
      </w:r>
      <w:r>
        <w:br/>
      </w:r>
      <w:r w:rsidRPr="373FCF8B">
        <w:rPr>
          <w:i/>
          <w:iCs/>
        </w:rPr>
        <w:t>Session Description:</w:t>
      </w:r>
      <w:r>
        <w:br/>
      </w:r>
      <w:r w:rsidR="006B7BF5">
        <w:t xml:space="preserve">In an increasingly competitive marketplace for financial advice, standing out as an advisor can be challenging. That said, many advisors today are successfully differentiating themselves through clear, upfront communication with prospects and clients regarding their </w:t>
      </w:r>
      <w:r w:rsidR="00E72290">
        <w:t xml:space="preserve">unique expertise, </w:t>
      </w:r>
      <w:r w:rsidR="006B7BF5">
        <w:t xml:space="preserve">service offerings, fees, and ethical </w:t>
      </w:r>
      <w:r w:rsidR="00E72290">
        <w:t>standards (including the fiduciary responsibilities of CFP professionals)</w:t>
      </w:r>
      <w:r w:rsidR="006B7BF5">
        <w:t xml:space="preserve">. </w:t>
      </w:r>
      <w:r w:rsidR="00396354">
        <w:t xml:space="preserve">Leveraging Kitces Research data and real-world examples from advisory firms, </w:t>
      </w:r>
      <w:r w:rsidR="00E72290">
        <w:t>this session explores</w:t>
      </w:r>
      <w:r w:rsidR="00396354">
        <w:t xml:space="preserve"> how advisors can decide what makes them different and </w:t>
      </w:r>
      <w:r w:rsidR="00BD79D4">
        <w:t>options for how they can communicate their unique value proposition</w:t>
      </w:r>
      <w:r w:rsidR="00E72290">
        <w:t xml:space="preserve"> (including the use of jargon-free language clients can easily understand, communicating how planning services will be performed, and graphics, such as client service calendars)</w:t>
      </w:r>
      <w:r w:rsidR="00BD79D4">
        <w:t xml:space="preserve"> to</w:t>
      </w:r>
      <w:r w:rsidR="006B7BF5">
        <w:t xml:space="preserve"> improve transparency of both services and fees, enhancing client understanding of the planning process and their advisor’s ethical responsibilities.</w:t>
      </w:r>
      <w:r w:rsidR="006B7BF5" w:rsidDel="006B7BF5">
        <w:t xml:space="preserve"> </w:t>
      </w:r>
      <w:r>
        <w:br/>
      </w:r>
      <w:r w:rsidR="00CD5B79">
        <w:br/>
      </w:r>
      <w:r w:rsidR="00C44CD0">
        <w:t>Learning Objectives:</w:t>
      </w:r>
      <w:r>
        <w:br/>
      </w:r>
    </w:p>
    <w:p w14:paraId="68938CFE" w14:textId="6909AB86" w:rsidR="00396354" w:rsidRPr="00072DF6" w:rsidRDefault="23DC71ED" w:rsidP="373FCF8B">
      <w:pPr>
        <w:pStyle w:val="ListParagraph"/>
        <w:numPr>
          <w:ilvl w:val="0"/>
          <w:numId w:val="5"/>
        </w:numPr>
        <w:rPr>
          <w:rFonts w:ascii="Calibri" w:eastAsia="Calibri" w:hAnsi="Calibri" w:cs="Calibri"/>
          <w:color w:val="000000" w:themeColor="text1"/>
        </w:rPr>
      </w:pPr>
      <w:r w:rsidRPr="373FCF8B">
        <w:rPr>
          <w:rFonts w:ascii="Calibri" w:eastAsia="Calibri" w:hAnsi="Calibri" w:cs="Calibri"/>
          <w:color w:val="000000" w:themeColor="text1"/>
        </w:rPr>
        <w:t>Learn how advisory firms can differentiate themselves</w:t>
      </w:r>
      <w:r w:rsidR="00D84B37">
        <w:rPr>
          <w:rFonts w:ascii="Calibri" w:eastAsia="Calibri" w:hAnsi="Calibri" w:cs="Calibri"/>
          <w:color w:val="000000" w:themeColor="text1"/>
        </w:rPr>
        <w:t xml:space="preserve"> and accelerate growth</w:t>
      </w:r>
      <w:r w:rsidRPr="373FCF8B">
        <w:rPr>
          <w:rFonts w:ascii="Calibri" w:eastAsia="Calibri" w:hAnsi="Calibri" w:cs="Calibri"/>
          <w:color w:val="000000" w:themeColor="text1"/>
        </w:rPr>
        <w:t xml:space="preserve"> </w:t>
      </w:r>
      <w:r w:rsidR="00D84B37">
        <w:rPr>
          <w:rFonts w:ascii="Calibri" w:eastAsia="Calibri" w:hAnsi="Calibri" w:cs="Calibri"/>
          <w:color w:val="000000" w:themeColor="text1"/>
        </w:rPr>
        <w:t>by</w:t>
      </w:r>
      <w:r w:rsidRPr="373FCF8B">
        <w:rPr>
          <w:rFonts w:ascii="Calibri" w:eastAsia="Calibri" w:hAnsi="Calibri" w:cs="Calibri"/>
          <w:color w:val="000000" w:themeColor="text1"/>
        </w:rPr>
        <w:t xml:space="preserve"> using their websites</w:t>
      </w:r>
      <w:r w:rsidR="00D84B37">
        <w:rPr>
          <w:rFonts w:ascii="Calibri" w:eastAsia="Calibri" w:hAnsi="Calibri" w:cs="Calibri"/>
          <w:color w:val="000000" w:themeColor="text1"/>
        </w:rPr>
        <w:t xml:space="preserve"> to transparently communicate information about services and fees</w:t>
      </w:r>
    </w:p>
    <w:p w14:paraId="7CA5D736" w14:textId="3672346A" w:rsidR="00396354" w:rsidRPr="00072DF6" w:rsidRDefault="006B7BF5" w:rsidP="373FCF8B">
      <w:pPr>
        <w:pStyle w:val="ListParagraph"/>
        <w:numPr>
          <w:ilvl w:val="0"/>
          <w:numId w:val="5"/>
        </w:numPr>
        <w:rPr>
          <w:rFonts w:ascii="Calibri" w:eastAsia="Calibri" w:hAnsi="Calibri" w:cs="Calibri"/>
          <w:color w:val="000000" w:themeColor="text1"/>
        </w:rPr>
      </w:pPr>
      <w:r w:rsidRPr="006B7BF5">
        <w:rPr>
          <w:rFonts w:ascii="Calibri" w:eastAsia="Calibri" w:hAnsi="Calibri" w:cs="Calibri"/>
          <w:color w:val="000000" w:themeColor="text1"/>
        </w:rPr>
        <w:t>Identify effective communication strategies</w:t>
      </w:r>
      <w:r w:rsidR="00E72290">
        <w:rPr>
          <w:rFonts w:ascii="Calibri" w:eastAsia="Calibri" w:hAnsi="Calibri" w:cs="Calibri"/>
          <w:color w:val="000000" w:themeColor="text1"/>
        </w:rPr>
        <w:t xml:space="preserve"> (including how financial planning services will be undertaken)</w:t>
      </w:r>
      <w:r w:rsidRPr="006B7BF5">
        <w:rPr>
          <w:rFonts w:ascii="Calibri" w:eastAsia="Calibri" w:hAnsi="Calibri" w:cs="Calibri"/>
          <w:color w:val="000000" w:themeColor="text1"/>
        </w:rPr>
        <w:t xml:space="preserve"> to improve client understanding of services and pricing, enhancing the delivery of fiduciary financial planning</w:t>
      </w:r>
      <w:r w:rsidR="00353FB3">
        <w:rPr>
          <w:rFonts w:ascii="Calibri" w:eastAsia="Calibri" w:hAnsi="Calibri" w:cs="Calibri"/>
          <w:color w:val="000000" w:themeColor="text1"/>
        </w:rPr>
        <w:t xml:space="preserve">. </w:t>
      </w:r>
      <w:r w:rsidR="23DC71ED" w:rsidRPr="373FCF8B">
        <w:rPr>
          <w:rFonts w:ascii="Calibri" w:eastAsia="Calibri" w:hAnsi="Calibri" w:cs="Calibri"/>
          <w:color w:val="000000" w:themeColor="text1"/>
        </w:rPr>
        <w:t>Learn why having an ideal target client avatar can help a firm differentiate itself</w:t>
      </w:r>
      <w:r>
        <w:rPr>
          <w:rFonts w:ascii="Calibri" w:eastAsia="Calibri" w:hAnsi="Calibri" w:cs="Calibri"/>
          <w:color w:val="000000" w:themeColor="text1"/>
        </w:rPr>
        <w:t xml:space="preserve"> and provide better-tailored advice to the clients it serves</w:t>
      </w:r>
    </w:p>
    <w:p w14:paraId="245A94CD" w14:textId="7D83E73E" w:rsidR="00396354" w:rsidRPr="00072DF6" w:rsidRDefault="23DC71ED" w:rsidP="373FCF8B">
      <w:pPr>
        <w:pStyle w:val="ListParagraph"/>
        <w:numPr>
          <w:ilvl w:val="0"/>
          <w:numId w:val="5"/>
        </w:numPr>
        <w:rPr>
          <w:rFonts w:ascii="Calibri" w:eastAsia="Calibri" w:hAnsi="Calibri" w:cs="Calibri"/>
          <w:color w:val="000000" w:themeColor="text1"/>
        </w:rPr>
      </w:pPr>
      <w:r w:rsidRPr="373FCF8B">
        <w:rPr>
          <w:rFonts w:ascii="Calibri" w:eastAsia="Calibri" w:hAnsi="Calibri" w:cs="Calibri"/>
          <w:color w:val="000000" w:themeColor="text1"/>
        </w:rPr>
        <w:t xml:space="preserve">Discuss how client services calendars </w:t>
      </w:r>
      <w:r w:rsidR="006B7BF5">
        <w:rPr>
          <w:rFonts w:ascii="Calibri" w:eastAsia="Calibri" w:hAnsi="Calibri" w:cs="Calibri"/>
          <w:color w:val="000000" w:themeColor="text1"/>
        </w:rPr>
        <w:t xml:space="preserve">can help advisors clearly communicate to clients the services they can expect to receive throughout the year </w:t>
      </w:r>
    </w:p>
    <w:p w14:paraId="58FBF30A" w14:textId="341A9F96" w:rsidR="00396354" w:rsidRPr="00072DF6" w:rsidRDefault="23DC71ED" w:rsidP="373FCF8B">
      <w:pPr>
        <w:pStyle w:val="ListParagraph"/>
        <w:numPr>
          <w:ilvl w:val="0"/>
          <w:numId w:val="5"/>
        </w:numPr>
        <w:rPr>
          <w:rFonts w:ascii="Calibri" w:eastAsia="Calibri" w:hAnsi="Calibri" w:cs="Calibri"/>
          <w:color w:val="000000" w:themeColor="text1"/>
        </w:rPr>
      </w:pPr>
      <w:r w:rsidRPr="373FCF8B">
        <w:rPr>
          <w:rFonts w:ascii="Calibri" w:eastAsia="Calibri" w:hAnsi="Calibri" w:cs="Calibri"/>
          <w:color w:val="000000" w:themeColor="text1"/>
        </w:rPr>
        <w:t>Learn how advisory firms have approached posting their fees on their website in a way that is linked to the unique value they provide</w:t>
      </w:r>
      <w:r w:rsidR="006B7BF5">
        <w:rPr>
          <w:rFonts w:ascii="Calibri" w:eastAsia="Calibri" w:hAnsi="Calibri" w:cs="Calibri"/>
          <w:color w:val="000000" w:themeColor="text1"/>
        </w:rPr>
        <w:t xml:space="preserve"> and their fiduciary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7"/>
        <w:gridCol w:w="8523"/>
      </w:tblGrid>
      <w:tr w:rsidR="00B23DC2" w:rsidRPr="00B23DC2" w14:paraId="629E3F8D" w14:textId="77777777" w:rsidTr="00B23DC2">
        <w:trPr>
          <w:tblHeader/>
          <w:tblCellSpacing w:w="15" w:type="dxa"/>
        </w:trPr>
        <w:tc>
          <w:tcPr>
            <w:tcW w:w="0" w:type="auto"/>
            <w:vAlign w:val="center"/>
            <w:hideMark/>
          </w:tcPr>
          <w:p w14:paraId="2C3A19D5" w14:textId="77777777" w:rsidR="00B23DC2" w:rsidRPr="00B23DC2" w:rsidRDefault="00B23DC2" w:rsidP="00B23DC2">
            <w:pPr>
              <w:rPr>
                <w:b/>
                <w:bCs/>
              </w:rPr>
            </w:pPr>
            <w:r w:rsidRPr="00B23DC2">
              <w:rPr>
                <w:b/>
                <w:bCs/>
              </w:rPr>
              <w:lastRenderedPageBreak/>
              <w:t>Time</w:t>
            </w:r>
          </w:p>
        </w:tc>
        <w:tc>
          <w:tcPr>
            <w:tcW w:w="0" w:type="auto"/>
            <w:vAlign w:val="center"/>
            <w:hideMark/>
          </w:tcPr>
          <w:p w14:paraId="4BFDCC95" w14:textId="77777777" w:rsidR="00B23DC2" w:rsidRPr="00B23DC2" w:rsidRDefault="00B23DC2" w:rsidP="00B23DC2">
            <w:pPr>
              <w:rPr>
                <w:b/>
                <w:bCs/>
              </w:rPr>
            </w:pPr>
            <w:r w:rsidRPr="00B23DC2">
              <w:rPr>
                <w:b/>
                <w:bCs/>
              </w:rPr>
              <w:t>Topic</w:t>
            </w:r>
          </w:p>
        </w:tc>
      </w:tr>
      <w:tr w:rsidR="00B23DC2" w:rsidRPr="00B23DC2" w14:paraId="3A06E169" w14:textId="77777777" w:rsidTr="00B23DC2">
        <w:trPr>
          <w:tblCellSpacing w:w="15" w:type="dxa"/>
        </w:trPr>
        <w:tc>
          <w:tcPr>
            <w:tcW w:w="0" w:type="auto"/>
            <w:vAlign w:val="center"/>
            <w:hideMark/>
          </w:tcPr>
          <w:p w14:paraId="6BF8F2BD" w14:textId="77777777" w:rsidR="00B23DC2" w:rsidRPr="00B23DC2" w:rsidRDefault="00B23DC2" w:rsidP="00B23DC2">
            <w:r w:rsidRPr="00B23DC2">
              <w:t>0:00–0:05</w:t>
            </w:r>
          </w:p>
        </w:tc>
        <w:tc>
          <w:tcPr>
            <w:tcW w:w="0" w:type="auto"/>
            <w:vAlign w:val="center"/>
            <w:hideMark/>
          </w:tcPr>
          <w:p w14:paraId="488539CA" w14:textId="77777777" w:rsidR="00B23DC2" w:rsidRPr="00B23DC2" w:rsidRDefault="00B23DC2" w:rsidP="00B23DC2">
            <w:r w:rsidRPr="00B23DC2">
              <w:rPr>
                <w:b/>
                <w:bCs/>
              </w:rPr>
              <w:t>Introduction</w:t>
            </w:r>
            <w:r w:rsidRPr="00B23DC2">
              <w:t>: Session overview, CFP® professional responsibilities around transparency and communication</w:t>
            </w:r>
          </w:p>
        </w:tc>
      </w:tr>
      <w:tr w:rsidR="00B23DC2" w:rsidRPr="00B23DC2" w14:paraId="298E0C67" w14:textId="77777777" w:rsidTr="00B23DC2">
        <w:trPr>
          <w:tblCellSpacing w:w="15" w:type="dxa"/>
        </w:trPr>
        <w:tc>
          <w:tcPr>
            <w:tcW w:w="0" w:type="auto"/>
            <w:vAlign w:val="center"/>
            <w:hideMark/>
          </w:tcPr>
          <w:p w14:paraId="3502499E" w14:textId="77777777" w:rsidR="00B23DC2" w:rsidRPr="00B23DC2" w:rsidRDefault="00B23DC2" w:rsidP="00B23DC2">
            <w:r w:rsidRPr="00B23DC2">
              <w:t>0:05–0:15</w:t>
            </w:r>
          </w:p>
        </w:tc>
        <w:tc>
          <w:tcPr>
            <w:tcW w:w="0" w:type="auto"/>
            <w:vAlign w:val="center"/>
            <w:hideMark/>
          </w:tcPr>
          <w:p w14:paraId="33CF0F63" w14:textId="77777777" w:rsidR="00B23DC2" w:rsidRPr="00B23DC2" w:rsidRDefault="00B23DC2" w:rsidP="00B23DC2">
            <w:r w:rsidRPr="00B23DC2">
              <w:rPr>
                <w:b/>
                <w:bCs/>
              </w:rPr>
              <w:t>Defining “Different” vs. “Better”</w:t>
            </w:r>
            <w:r w:rsidRPr="00B23DC2">
              <w:t>: The marketing gap in a fiduciary context; overview of common industry language pitfalls</w:t>
            </w:r>
          </w:p>
        </w:tc>
      </w:tr>
      <w:tr w:rsidR="00B23DC2" w:rsidRPr="00B23DC2" w14:paraId="2ECD2CFF" w14:textId="77777777" w:rsidTr="00B23DC2">
        <w:trPr>
          <w:tblCellSpacing w:w="15" w:type="dxa"/>
        </w:trPr>
        <w:tc>
          <w:tcPr>
            <w:tcW w:w="0" w:type="auto"/>
            <w:vAlign w:val="center"/>
            <w:hideMark/>
          </w:tcPr>
          <w:p w14:paraId="497E912D" w14:textId="77777777" w:rsidR="00B23DC2" w:rsidRPr="00B23DC2" w:rsidRDefault="00B23DC2" w:rsidP="00B23DC2">
            <w:r w:rsidRPr="00B23DC2">
              <w:t>0:15–0:25</w:t>
            </w:r>
          </w:p>
        </w:tc>
        <w:tc>
          <w:tcPr>
            <w:tcW w:w="0" w:type="auto"/>
            <w:vAlign w:val="center"/>
            <w:hideMark/>
          </w:tcPr>
          <w:p w14:paraId="1794494F" w14:textId="77777777" w:rsidR="00B23DC2" w:rsidRPr="00B23DC2" w:rsidRDefault="00B23DC2" w:rsidP="00B23DC2">
            <w:r w:rsidRPr="00B23DC2">
              <w:rPr>
                <w:b/>
                <w:bCs/>
              </w:rPr>
              <w:t>Client Communication Strategies</w:t>
            </w:r>
            <w:r w:rsidRPr="00B23DC2">
              <w:t>: Using plain-language explanations, visuals, and planning process clarity to support understanding</w:t>
            </w:r>
          </w:p>
        </w:tc>
      </w:tr>
      <w:tr w:rsidR="00B23DC2" w:rsidRPr="00B23DC2" w14:paraId="32C5602E" w14:textId="77777777" w:rsidTr="00B23DC2">
        <w:trPr>
          <w:tblCellSpacing w:w="15" w:type="dxa"/>
        </w:trPr>
        <w:tc>
          <w:tcPr>
            <w:tcW w:w="0" w:type="auto"/>
            <w:vAlign w:val="center"/>
            <w:hideMark/>
          </w:tcPr>
          <w:p w14:paraId="10440F8D" w14:textId="77777777" w:rsidR="00B23DC2" w:rsidRPr="00B23DC2" w:rsidRDefault="00B23DC2" w:rsidP="00B23DC2">
            <w:r w:rsidRPr="00B23DC2">
              <w:t>0:25–0:35</w:t>
            </w:r>
          </w:p>
        </w:tc>
        <w:tc>
          <w:tcPr>
            <w:tcW w:w="0" w:type="auto"/>
            <w:vAlign w:val="center"/>
            <w:hideMark/>
          </w:tcPr>
          <w:p w14:paraId="1E1550B1" w14:textId="77777777" w:rsidR="00B23DC2" w:rsidRPr="00B23DC2" w:rsidRDefault="00B23DC2" w:rsidP="00B23DC2">
            <w:r w:rsidRPr="00B23DC2">
              <w:rPr>
                <w:b/>
                <w:bCs/>
              </w:rPr>
              <w:t>Client Service Calendars</w:t>
            </w:r>
            <w:r w:rsidRPr="00B23DC2">
              <w:t>: Demonstrating value across time; how they enhance fiduciary engagement and manage client expectations</w:t>
            </w:r>
          </w:p>
        </w:tc>
      </w:tr>
      <w:tr w:rsidR="00B23DC2" w:rsidRPr="00B23DC2" w14:paraId="72D1D11C" w14:textId="77777777" w:rsidTr="00B23DC2">
        <w:trPr>
          <w:tblCellSpacing w:w="15" w:type="dxa"/>
        </w:trPr>
        <w:tc>
          <w:tcPr>
            <w:tcW w:w="0" w:type="auto"/>
            <w:vAlign w:val="center"/>
            <w:hideMark/>
          </w:tcPr>
          <w:p w14:paraId="5907A24C" w14:textId="77777777" w:rsidR="00B23DC2" w:rsidRPr="00B23DC2" w:rsidRDefault="00B23DC2" w:rsidP="00B23DC2">
            <w:r w:rsidRPr="00B23DC2">
              <w:t>0:35–0:50</w:t>
            </w:r>
          </w:p>
        </w:tc>
        <w:tc>
          <w:tcPr>
            <w:tcW w:w="0" w:type="auto"/>
            <w:vAlign w:val="center"/>
            <w:hideMark/>
          </w:tcPr>
          <w:p w14:paraId="14EA126E" w14:textId="77777777" w:rsidR="00B23DC2" w:rsidRPr="00B23DC2" w:rsidRDefault="00B23DC2" w:rsidP="00B23DC2">
            <w:r w:rsidRPr="00B23DC2">
              <w:rPr>
                <w:b/>
                <w:bCs/>
              </w:rPr>
              <w:t>Transparent Fee Disclosure</w:t>
            </w:r>
            <w:r w:rsidRPr="00B23DC2">
              <w:t>: Real-world examples of how firms link fees to service and use websites to communicate pricing and ethics</w:t>
            </w:r>
          </w:p>
        </w:tc>
      </w:tr>
      <w:tr w:rsidR="00B23DC2" w:rsidRPr="00B23DC2" w14:paraId="16AE1AAE" w14:textId="77777777" w:rsidTr="00B23DC2">
        <w:trPr>
          <w:tblCellSpacing w:w="15" w:type="dxa"/>
        </w:trPr>
        <w:tc>
          <w:tcPr>
            <w:tcW w:w="0" w:type="auto"/>
            <w:vAlign w:val="center"/>
            <w:hideMark/>
          </w:tcPr>
          <w:p w14:paraId="7650267D" w14:textId="77777777" w:rsidR="00B23DC2" w:rsidRPr="00B23DC2" w:rsidRDefault="00B23DC2" w:rsidP="00B23DC2">
            <w:r w:rsidRPr="00B23DC2">
              <w:t>0:50–0:57</w:t>
            </w:r>
          </w:p>
        </w:tc>
        <w:tc>
          <w:tcPr>
            <w:tcW w:w="0" w:type="auto"/>
            <w:vAlign w:val="center"/>
            <w:hideMark/>
          </w:tcPr>
          <w:p w14:paraId="7BE18B68" w14:textId="77777777" w:rsidR="00B23DC2" w:rsidRPr="00B23DC2" w:rsidRDefault="00B23DC2" w:rsidP="00B23DC2">
            <w:r w:rsidRPr="00B23DC2">
              <w:rPr>
                <w:b/>
                <w:bCs/>
              </w:rPr>
              <w:t>Building an Ideal Client Avatar</w:t>
            </w:r>
            <w:r w:rsidRPr="00B23DC2">
              <w:t>: How targeting specific client needs improves planning relevance and ethical service delivery</w:t>
            </w:r>
          </w:p>
        </w:tc>
      </w:tr>
      <w:tr w:rsidR="00B23DC2" w:rsidRPr="00B23DC2" w14:paraId="4C9ABDD3" w14:textId="77777777" w:rsidTr="00B23DC2">
        <w:trPr>
          <w:tblCellSpacing w:w="15" w:type="dxa"/>
        </w:trPr>
        <w:tc>
          <w:tcPr>
            <w:tcW w:w="0" w:type="auto"/>
            <w:vAlign w:val="center"/>
            <w:hideMark/>
          </w:tcPr>
          <w:p w14:paraId="30424F77" w14:textId="77777777" w:rsidR="00B23DC2" w:rsidRPr="00B23DC2" w:rsidRDefault="00B23DC2" w:rsidP="00B23DC2">
            <w:r w:rsidRPr="00B23DC2">
              <w:t>0:57–1:00</w:t>
            </w:r>
          </w:p>
        </w:tc>
        <w:tc>
          <w:tcPr>
            <w:tcW w:w="0" w:type="auto"/>
            <w:vAlign w:val="center"/>
            <w:hideMark/>
          </w:tcPr>
          <w:p w14:paraId="7AEF624A" w14:textId="77777777" w:rsidR="00B23DC2" w:rsidRPr="00B23DC2" w:rsidRDefault="00B23DC2" w:rsidP="00B23DC2">
            <w:r w:rsidRPr="00B23DC2">
              <w:rPr>
                <w:b/>
                <w:bCs/>
              </w:rPr>
              <w:t>Wrap-Up &amp; Key Takeaways</w:t>
            </w:r>
            <w:r w:rsidRPr="00B23DC2">
              <w:t>: Reinforcing how transparency, communication, and fiduciary duty align for client trust and business growth</w:t>
            </w:r>
          </w:p>
        </w:tc>
      </w:tr>
    </w:tbl>
    <w:p w14:paraId="234F98DE" w14:textId="1A15364D" w:rsidR="00DB7E1C" w:rsidRDefault="00DB7E1C" w:rsidP="00DB7E1C">
      <w:r>
        <w:br/>
      </w:r>
      <w:r w:rsidR="008A00BD">
        <w:rPr>
          <w:i/>
        </w:rPr>
        <w:t>Level of Complexity:</w:t>
      </w:r>
      <w:r>
        <w:br/>
        <w:t xml:space="preserve">- &lt; Beginner / </w:t>
      </w:r>
      <w:r w:rsidRPr="00404189">
        <w:rPr>
          <w:highlight w:val="yellow"/>
        </w:rPr>
        <w:t>Intermediate</w:t>
      </w:r>
      <w:r>
        <w:t xml:space="preserve"> </w:t>
      </w:r>
      <w:r w:rsidRPr="000C6C5B">
        <w:t>/ Advanced&gt;</w:t>
      </w:r>
      <w:r w:rsidR="000C6C5B" w:rsidRPr="000C6C5B">
        <w:rPr>
          <w:i/>
        </w:rPr>
        <w:t xml:space="preserve"> </w:t>
      </w:r>
    </w:p>
    <w:p w14:paraId="3FA85105" w14:textId="77777777" w:rsidR="00DB7E1C" w:rsidRDefault="00DB7E1C" w:rsidP="00DB7E1C"/>
    <w:p w14:paraId="3738F486" w14:textId="77777777" w:rsidR="00DB7E1C" w:rsidRDefault="00DB7E1C" w:rsidP="00DB7E1C">
      <w:r>
        <w:rPr>
          <w:i/>
        </w:rPr>
        <w:t>Topic Area(s):</w:t>
      </w:r>
    </w:p>
    <w:p w14:paraId="1F098C01" w14:textId="77777777" w:rsidR="00DB7E1C" w:rsidRPr="00886F9D" w:rsidRDefault="00DB7E1C" w:rsidP="00DB7E1C">
      <w:r>
        <w:t xml:space="preserve">- &lt; </w:t>
      </w:r>
      <w:r w:rsidRPr="00B01EF7">
        <w:rPr>
          <w:highlight w:val="yellow"/>
        </w:rPr>
        <w:t>General Principles of Financial Planning</w:t>
      </w:r>
      <w:r>
        <w:t xml:space="preserve"> / Insurance Planning / </w:t>
      </w:r>
      <w:r w:rsidRPr="007529BB">
        <w:t>Investment Planning / Income Tax Planning / Retirement Planning / Estate Planning</w:t>
      </w:r>
      <w:r>
        <w:t xml:space="preserve"> / </w:t>
      </w:r>
      <w:r w:rsidRPr="00284B54">
        <w:rPr>
          <w:highlight w:val="yellow"/>
        </w:rPr>
        <w:t>Client Trust &amp; C</w:t>
      </w:r>
      <w:r w:rsidRPr="007529BB">
        <w:rPr>
          <w:highlight w:val="yellow"/>
        </w:rPr>
        <w:t>ommunication</w:t>
      </w:r>
      <w:r>
        <w:t xml:space="preserve"> &gt;</w:t>
      </w:r>
    </w:p>
    <w:p w14:paraId="4C4CB53D" w14:textId="77777777" w:rsidR="00DB7E1C" w:rsidRDefault="00DB7E1C" w:rsidP="00DB7E1C"/>
    <w:p w14:paraId="35D1CBD0" w14:textId="77777777" w:rsidR="00DB7E1C" w:rsidRPr="00886F9D" w:rsidRDefault="00DB7E1C" w:rsidP="00DB7E1C">
      <w:pPr>
        <w:rPr>
          <w:i/>
        </w:rPr>
      </w:pPr>
      <w:r>
        <w:rPr>
          <w:i/>
        </w:rPr>
        <w:t>Hour(s) of CE:</w:t>
      </w:r>
    </w:p>
    <w:p w14:paraId="4C84BE8F" w14:textId="77777777" w:rsidR="00DB7E1C" w:rsidRDefault="00DB7E1C" w:rsidP="00DB7E1C">
      <w:r>
        <w:t xml:space="preserve">- &lt; </w:t>
      </w:r>
      <w:r w:rsidRPr="007529BB">
        <w:rPr>
          <w:highlight w:val="yellow"/>
        </w:rPr>
        <w:t>1 hour</w:t>
      </w:r>
      <w:r>
        <w:t xml:space="preserve"> / </w:t>
      </w:r>
      <w:r w:rsidRPr="007529BB">
        <w:t>1.5 hours</w:t>
      </w:r>
      <w:r>
        <w:t xml:space="preserve"> / 2 hours &gt;</w:t>
      </w:r>
    </w:p>
    <w:p w14:paraId="0784482F" w14:textId="1B8F3F2E" w:rsidR="00396354" w:rsidRPr="00072DF6" w:rsidRDefault="00396354" w:rsidP="373FCF8B"/>
    <w:sectPr w:rsidR="00396354" w:rsidRPr="00072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438E"/>
    <w:multiLevelType w:val="hybridMultilevel"/>
    <w:tmpl w:val="0B2CD26A"/>
    <w:lvl w:ilvl="0" w:tplc="E8EC25AE">
      <w:start w:val="3"/>
      <w:numFmt w:val="decimal"/>
      <w:lvlText w:val="%1)"/>
      <w:lvlJc w:val="left"/>
      <w:pPr>
        <w:ind w:left="720" w:hanging="360"/>
      </w:pPr>
    </w:lvl>
    <w:lvl w:ilvl="1" w:tplc="F502F1E8">
      <w:start w:val="1"/>
      <w:numFmt w:val="lowerLetter"/>
      <w:lvlText w:val="%2."/>
      <w:lvlJc w:val="left"/>
      <w:pPr>
        <w:ind w:left="1440" w:hanging="360"/>
      </w:pPr>
    </w:lvl>
    <w:lvl w:ilvl="2" w:tplc="F934CE78">
      <w:start w:val="1"/>
      <w:numFmt w:val="lowerRoman"/>
      <w:lvlText w:val="%3."/>
      <w:lvlJc w:val="right"/>
      <w:pPr>
        <w:ind w:left="2160" w:hanging="180"/>
      </w:pPr>
    </w:lvl>
    <w:lvl w:ilvl="3" w:tplc="5BDA2F70">
      <w:start w:val="1"/>
      <w:numFmt w:val="decimal"/>
      <w:lvlText w:val="%4."/>
      <w:lvlJc w:val="left"/>
      <w:pPr>
        <w:ind w:left="2880" w:hanging="360"/>
      </w:pPr>
    </w:lvl>
    <w:lvl w:ilvl="4" w:tplc="269220B0">
      <w:start w:val="1"/>
      <w:numFmt w:val="lowerLetter"/>
      <w:lvlText w:val="%5."/>
      <w:lvlJc w:val="left"/>
      <w:pPr>
        <w:ind w:left="3600" w:hanging="360"/>
      </w:pPr>
    </w:lvl>
    <w:lvl w:ilvl="5" w:tplc="52DC5BFE">
      <w:start w:val="1"/>
      <w:numFmt w:val="lowerRoman"/>
      <w:lvlText w:val="%6."/>
      <w:lvlJc w:val="right"/>
      <w:pPr>
        <w:ind w:left="4320" w:hanging="180"/>
      </w:pPr>
    </w:lvl>
    <w:lvl w:ilvl="6" w:tplc="AEEAE78C">
      <w:start w:val="1"/>
      <w:numFmt w:val="decimal"/>
      <w:lvlText w:val="%7."/>
      <w:lvlJc w:val="left"/>
      <w:pPr>
        <w:ind w:left="5040" w:hanging="360"/>
      </w:pPr>
    </w:lvl>
    <w:lvl w:ilvl="7" w:tplc="82765658">
      <w:start w:val="1"/>
      <w:numFmt w:val="lowerLetter"/>
      <w:lvlText w:val="%8."/>
      <w:lvlJc w:val="left"/>
      <w:pPr>
        <w:ind w:left="5760" w:hanging="360"/>
      </w:pPr>
    </w:lvl>
    <w:lvl w:ilvl="8" w:tplc="E21E3780">
      <w:start w:val="1"/>
      <w:numFmt w:val="lowerRoman"/>
      <w:lvlText w:val="%9."/>
      <w:lvlJc w:val="right"/>
      <w:pPr>
        <w:ind w:left="6480" w:hanging="180"/>
      </w:pPr>
    </w:lvl>
  </w:abstractNum>
  <w:abstractNum w:abstractNumId="1" w15:restartNumberingAfterBreak="0">
    <w:nsid w:val="094D21DC"/>
    <w:multiLevelType w:val="hybridMultilevel"/>
    <w:tmpl w:val="3FB45590"/>
    <w:lvl w:ilvl="0" w:tplc="EF88CD22">
      <w:start w:val="4"/>
      <w:numFmt w:val="decimal"/>
      <w:lvlText w:val="%1)"/>
      <w:lvlJc w:val="left"/>
      <w:pPr>
        <w:ind w:left="720" w:hanging="360"/>
      </w:pPr>
    </w:lvl>
    <w:lvl w:ilvl="1" w:tplc="36001074">
      <w:start w:val="1"/>
      <w:numFmt w:val="lowerLetter"/>
      <w:lvlText w:val="%2."/>
      <w:lvlJc w:val="left"/>
      <w:pPr>
        <w:ind w:left="1440" w:hanging="360"/>
      </w:pPr>
    </w:lvl>
    <w:lvl w:ilvl="2" w:tplc="AEEE5688">
      <w:start w:val="1"/>
      <w:numFmt w:val="lowerRoman"/>
      <w:lvlText w:val="%3."/>
      <w:lvlJc w:val="right"/>
      <w:pPr>
        <w:ind w:left="2160" w:hanging="180"/>
      </w:pPr>
    </w:lvl>
    <w:lvl w:ilvl="3" w:tplc="04EE9F14">
      <w:start w:val="1"/>
      <w:numFmt w:val="decimal"/>
      <w:lvlText w:val="%4."/>
      <w:lvlJc w:val="left"/>
      <w:pPr>
        <w:ind w:left="2880" w:hanging="360"/>
      </w:pPr>
    </w:lvl>
    <w:lvl w:ilvl="4" w:tplc="5034481E">
      <w:start w:val="1"/>
      <w:numFmt w:val="lowerLetter"/>
      <w:lvlText w:val="%5."/>
      <w:lvlJc w:val="left"/>
      <w:pPr>
        <w:ind w:left="3600" w:hanging="360"/>
      </w:pPr>
    </w:lvl>
    <w:lvl w:ilvl="5" w:tplc="1E004494">
      <w:start w:val="1"/>
      <w:numFmt w:val="lowerRoman"/>
      <w:lvlText w:val="%6."/>
      <w:lvlJc w:val="right"/>
      <w:pPr>
        <w:ind w:left="4320" w:hanging="180"/>
      </w:pPr>
    </w:lvl>
    <w:lvl w:ilvl="6" w:tplc="682023EA">
      <w:start w:val="1"/>
      <w:numFmt w:val="decimal"/>
      <w:lvlText w:val="%7."/>
      <w:lvlJc w:val="left"/>
      <w:pPr>
        <w:ind w:left="5040" w:hanging="360"/>
      </w:pPr>
    </w:lvl>
    <w:lvl w:ilvl="7" w:tplc="3C2E263A">
      <w:start w:val="1"/>
      <w:numFmt w:val="lowerLetter"/>
      <w:lvlText w:val="%8."/>
      <w:lvlJc w:val="left"/>
      <w:pPr>
        <w:ind w:left="5760" w:hanging="360"/>
      </w:pPr>
    </w:lvl>
    <w:lvl w:ilvl="8" w:tplc="CA886AEA">
      <w:start w:val="1"/>
      <w:numFmt w:val="lowerRoman"/>
      <w:lvlText w:val="%9."/>
      <w:lvlJc w:val="right"/>
      <w:pPr>
        <w:ind w:left="6480" w:hanging="180"/>
      </w:pPr>
    </w:lvl>
  </w:abstractNum>
  <w:abstractNum w:abstractNumId="2" w15:restartNumberingAfterBreak="0">
    <w:nsid w:val="0AF25A9F"/>
    <w:multiLevelType w:val="hybridMultilevel"/>
    <w:tmpl w:val="471C8076"/>
    <w:lvl w:ilvl="0" w:tplc="9A925B7A">
      <w:start w:val="1"/>
      <w:numFmt w:val="decimal"/>
      <w:lvlText w:val="%1)"/>
      <w:lvlJc w:val="left"/>
      <w:pPr>
        <w:ind w:left="720" w:hanging="360"/>
      </w:pPr>
    </w:lvl>
    <w:lvl w:ilvl="1" w:tplc="CD3AB960">
      <w:start w:val="1"/>
      <w:numFmt w:val="lowerLetter"/>
      <w:lvlText w:val="%2."/>
      <w:lvlJc w:val="left"/>
      <w:pPr>
        <w:ind w:left="1440" w:hanging="360"/>
      </w:pPr>
    </w:lvl>
    <w:lvl w:ilvl="2" w:tplc="2FF8BF70">
      <w:start w:val="1"/>
      <w:numFmt w:val="lowerRoman"/>
      <w:lvlText w:val="%3."/>
      <w:lvlJc w:val="right"/>
      <w:pPr>
        <w:ind w:left="2160" w:hanging="180"/>
      </w:pPr>
    </w:lvl>
    <w:lvl w:ilvl="3" w:tplc="CA629614">
      <w:start w:val="1"/>
      <w:numFmt w:val="decimal"/>
      <w:lvlText w:val="%4."/>
      <w:lvlJc w:val="left"/>
      <w:pPr>
        <w:ind w:left="2880" w:hanging="360"/>
      </w:pPr>
    </w:lvl>
    <w:lvl w:ilvl="4" w:tplc="E15AB454">
      <w:start w:val="1"/>
      <w:numFmt w:val="lowerLetter"/>
      <w:lvlText w:val="%5."/>
      <w:lvlJc w:val="left"/>
      <w:pPr>
        <w:ind w:left="3600" w:hanging="360"/>
      </w:pPr>
    </w:lvl>
    <w:lvl w:ilvl="5" w:tplc="7C647640">
      <w:start w:val="1"/>
      <w:numFmt w:val="lowerRoman"/>
      <w:lvlText w:val="%6."/>
      <w:lvlJc w:val="right"/>
      <w:pPr>
        <w:ind w:left="4320" w:hanging="180"/>
      </w:pPr>
    </w:lvl>
    <w:lvl w:ilvl="6" w:tplc="DF66FB64">
      <w:start w:val="1"/>
      <w:numFmt w:val="decimal"/>
      <w:lvlText w:val="%7."/>
      <w:lvlJc w:val="left"/>
      <w:pPr>
        <w:ind w:left="5040" w:hanging="360"/>
      </w:pPr>
    </w:lvl>
    <w:lvl w:ilvl="7" w:tplc="EBE0A36A">
      <w:start w:val="1"/>
      <w:numFmt w:val="lowerLetter"/>
      <w:lvlText w:val="%8."/>
      <w:lvlJc w:val="left"/>
      <w:pPr>
        <w:ind w:left="5760" w:hanging="360"/>
      </w:pPr>
    </w:lvl>
    <w:lvl w:ilvl="8" w:tplc="BE0A2FB6">
      <w:start w:val="1"/>
      <w:numFmt w:val="lowerRoman"/>
      <w:lvlText w:val="%9."/>
      <w:lvlJc w:val="right"/>
      <w:pPr>
        <w:ind w:left="6480" w:hanging="180"/>
      </w:pPr>
    </w:lvl>
  </w:abstractNum>
  <w:abstractNum w:abstractNumId="3" w15:restartNumberingAfterBreak="0">
    <w:nsid w:val="2687DA90"/>
    <w:multiLevelType w:val="hybridMultilevel"/>
    <w:tmpl w:val="6AE43118"/>
    <w:lvl w:ilvl="0" w:tplc="C07627CC">
      <w:start w:val="2"/>
      <w:numFmt w:val="decimal"/>
      <w:lvlText w:val="%1)"/>
      <w:lvlJc w:val="left"/>
      <w:pPr>
        <w:ind w:left="720" w:hanging="360"/>
      </w:pPr>
    </w:lvl>
    <w:lvl w:ilvl="1" w:tplc="36780F8A">
      <w:start w:val="1"/>
      <w:numFmt w:val="lowerLetter"/>
      <w:lvlText w:val="%2."/>
      <w:lvlJc w:val="left"/>
      <w:pPr>
        <w:ind w:left="1440" w:hanging="360"/>
      </w:pPr>
    </w:lvl>
    <w:lvl w:ilvl="2" w:tplc="A0B83F54">
      <w:start w:val="1"/>
      <w:numFmt w:val="lowerRoman"/>
      <w:lvlText w:val="%3."/>
      <w:lvlJc w:val="right"/>
      <w:pPr>
        <w:ind w:left="2160" w:hanging="180"/>
      </w:pPr>
    </w:lvl>
    <w:lvl w:ilvl="3" w:tplc="DC506DF6">
      <w:start w:val="1"/>
      <w:numFmt w:val="decimal"/>
      <w:lvlText w:val="%4."/>
      <w:lvlJc w:val="left"/>
      <w:pPr>
        <w:ind w:left="2880" w:hanging="360"/>
      </w:pPr>
    </w:lvl>
    <w:lvl w:ilvl="4" w:tplc="E988A420">
      <w:start w:val="1"/>
      <w:numFmt w:val="lowerLetter"/>
      <w:lvlText w:val="%5."/>
      <w:lvlJc w:val="left"/>
      <w:pPr>
        <w:ind w:left="3600" w:hanging="360"/>
      </w:pPr>
    </w:lvl>
    <w:lvl w:ilvl="5" w:tplc="DAF4833A">
      <w:start w:val="1"/>
      <w:numFmt w:val="lowerRoman"/>
      <w:lvlText w:val="%6."/>
      <w:lvlJc w:val="right"/>
      <w:pPr>
        <w:ind w:left="4320" w:hanging="180"/>
      </w:pPr>
    </w:lvl>
    <w:lvl w:ilvl="6" w:tplc="C7489FB4">
      <w:start w:val="1"/>
      <w:numFmt w:val="decimal"/>
      <w:lvlText w:val="%7."/>
      <w:lvlJc w:val="left"/>
      <w:pPr>
        <w:ind w:left="5040" w:hanging="360"/>
      </w:pPr>
    </w:lvl>
    <w:lvl w:ilvl="7" w:tplc="33A0DCC2">
      <w:start w:val="1"/>
      <w:numFmt w:val="lowerLetter"/>
      <w:lvlText w:val="%8."/>
      <w:lvlJc w:val="left"/>
      <w:pPr>
        <w:ind w:left="5760" w:hanging="360"/>
      </w:pPr>
    </w:lvl>
    <w:lvl w:ilvl="8" w:tplc="79482FA0">
      <w:start w:val="1"/>
      <w:numFmt w:val="lowerRoman"/>
      <w:lvlText w:val="%9."/>
      <w:lvlJc w:val="right"/>
      <w:pPr>
        <w:ind w:left="6480" w:hanging="180"/>
      </w:pPr>
    </w:lvl>
  </w:abstractNum>
  <w:abstractNum w:abstractNumId="4" w15:restartNumberingAfterBreak="0">
    <w:nsid w:val="4CB46EB1"/>
    <w:multiLevelType w:val="hybridMultilevel"/>
    <w:tmpl w:val="DC925C16"/>
    <w:lvl w:ilvl="0" w:tplc="3F3E9030">
      <w:start w:val="5"/>
      <w:numFmt w:val="decimal"/>
      <w:lvlText w:val="%1)"/>
      <w:lvlJc w:val="left"/>
      <w:pPr>
        <w:ind w:left="720" w:hanging="360"/>
      </w:pPr>
    </w:lvl>
    <w:lvl w:ilvl="1" w:tplc="268C1EAC">
      <w:start w:val="1"/>
      <w:numFmt w:val="lowerLetter"/>
      <w:lvlText w:val="%2."/>
      <w:lvlJc w:val="left"/>
      <w:pPr>
        <w:ind w:left="1440" w:hanging="360"/>
      </w:pPr>
    </w:lvl>
    <w:lvl w:ilvl="2" w:tplc="1ABE53B8">
      <w:start w:val="1"/>
      <w:numFmt w:val="lowerRoman"/>
      <w:lvlText w:val="%3."/>
      <w:lvlJc w:val="right"/>
      <w:pPr>
        <w:ind w:left="2160" w:hanging="180"/>
      </w:pPr>
    </w:lvl>
    <w:lvl w:ilvl="3" w:tplc="516625B0">
      <w:start w:val="1"/>
      <w:numFmt w:val="decimal"/>
      <w:lvlText w:val="%4."/>
      <w:lvlJc w:val="left"/>
      <w:pPr>
        <w:ind w:left="2880" w:hanging="360"/>
      </w:pPr>
    </w:lvl>
    <w:lvl w:ilvl="4" w:tplc="1A743618">
      <w:start w:val="1"/>
      <w:numFmt w:val="lowerLetter"/>
      <w:lvlText w:val="%5."/>
      <w:lvlJc w:val="left"/>
      <w:pPr>
        <w:ind w:left="3600" w:hanging="360"/>
      </w:pPr>
    </w:lvl>
    <w:lvl w:ilvl="5" w:tplc="822447FC">
      <w:start w:val="1"/>
      <w:numFmt w:val="lowerRoman"/>
      <w:lvlText w:val="%6."/>
      <w:lvlJc w:val="right"/>
      <w:pPr>
        <w:ind w:left="4320" w:hanging="180"/>
      </w:pPr>
    </w:lvl>
    <w:lvl w:ilvl="6" w:tplc="DAD01900">
      <w:start w:val="1"/>
      <w:numFmt w:val="decimal"/>
      <w:lvlText w:val="%7."/>
      <w:lvlJc w:val="left"/>
      <w:pPr>
        <w:ind w:left="5040" w:hanging="360"/>
      </w:pPr>
    </w:lvl>
    <w:lvl w:ilvl="7" w:tplc="5B9250BC">
      <w:start w:val="1"/>
      <w:numFmt w:val="lowerLetter"/>
      <w:lvlText w:val="%8."/>
      <w:lvlJc w:val="left"/>
      <w:pPr>
        <w:ind w:left="5760" w:hanging="360"/>
      </w:pPr>
    </w:lvl>
    <w:lvl w:ilvl="8" w:tplc="D2CA0DD4">
      <w:start w:val="1"/>
      <w:numFmt w:val="lowerRoman"/>
      <w:lvlText w:val="%9."/>
      <w:lvlJc w:val="right"/>
      <w:pPr>
        <w:ind w:left="6480" w:hanging="180"/>
      </w:pPr>
    </w:lvl>
  </w:abstractNum>
  <w:num w:numId="1" w16cid:durableId="1476676523">
    <w:abstractNumId w:val="4"/>
  </w:num>
  <w:num w:numId="2" w16cid:durableId="967664261">
    <w:abstractNumId w:val="1"/>
  </w:num>
  <w:num w:numId="3" w16cid:durableId="891504325">
    <w:abstractNumId w:val="0"/>
  </w:num>
  <w:num w:numId="4" w16cid:durableId="1962223000">
    <w:abstractNumId w:val="3"/>
  </w:num>
  <w:num w:numId="5" w16cid:durableId="2083676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F6"/>
    <w:rsid w:val="0006190C"/>
    <w:rsid w:val="00072DF6"/>
    <w:rsid w:val="000C6C5B"/>
    <w:rsid w:val="00133F1D"/>
    <w:rsid w:val="001877A9"/>
    <w:rsid w:val="00284B54"/>
    <w:rsid w:val="002D59D9"/>
    <w:rsid w:val="00333BCC"/>
    <w:rsid w:val="00353FB3"/>
    <w:rsid w:val="00396354"/>
    <w:rsid w:val="003D4AC4"/>
    <w:rsid w:val="00404189"/>
    <w:rsid w:val="004D5676"/>
    <w:rsid w:val="005C56C0"/>
    <w:rsid w:val="006A6A0E"/>
    <w:rsid w:val="006B7BF5"/>
    <w:rsid w:val="007529BB"/>
    <w:rsid w:val="007657ED"/>
    <w:rsid w:val="007C3A37"/>
    <w:rsid w:val="008A00BD"/>
    <w:rsid w:val="00956240"/>
    <w:rsid w:val="00A26966"/>
    <w:rsid w:val="00A3554C"/>
    <w:rsid w:val="00A65764"/>
    <w:rsid w:val="00A91583"/>
    <w:rsid w:val="00B13E15"/>
    <w:rsid w:val="00B23DC2"/>
    <w:rsid w:val="00BD79D4"/>
    <w:rsid w:val="00C44CD0"/>
    <w:rsid w:val="00CD25F3"/>
    <w:rsid w:val="00CD5B79"/>
    <w:rsid w:val="00D150FE"/>
    <w:rsid w:val="00D84B37"/>
    <w:rsid w:val="00DB7E1C"/>
    <w:rsid w:val="00E72290"/>
    <w:rsid w:val="00FD687C"/>
    <w:rsid w:val="23DC71ED"/>
    <w:rsid w:val="373FC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D97C"/>
  <w15:chartTrackingRefBased/>
  <w15:docId w15:val="{B01DA2E9-C6D7-46AC-8BB2-A2FD1CD4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BCC"/>
    <w:rPr>
      <w:color w:val="0563C1" w:themeColor="hyperlink"/>
      <w:u w:val="single"/>
    </w:rPr>
  </w:style>
  <w:style w:type="character" w:styleId="UnresolvedMention">
    <w:name w:val="Unresolved Mention"/>
    <w:basedOn w:val="DefaultParagraphFont"/>
    <w:uiPriority w:val="99"/>
    <w:semiHidden/>
    <w:unhideWhenUsed/>
    <w:rsid w:val="00333BCC"/>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B7B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95908">
      <w:bodyDiv w:val="1"/>
      <w:marLeft w:val="0"/>
      <w:marRight w:val="0"/>
      <w:marTop w:val="0"/>
      <w:marBottom w:val="0"/>
      <w:divBdr>
        <w:top w:val="none" w:sz="0" w:space="0" w:color="auto"/>
        <w:left w:val="none" w:sz="0" w:space="0" w:color="auto"/>
        <w:bottom w:val="none" w:sz="0" w:space="0" w:color="auto"/>
        <w:right w:val="none" w:sz="0" w:space="0" w:color="auto"/>
      </w:divBdr>
    </w:div>
    <w:div w:id="86332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tc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kit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3E5DC375B70C40A053B35883690016" ma:contentTypeVersion="11" ma:contentTypeDescription="Create a new document." ma:contentTypeScope="" ma:versionID="f408c10921a16d2214b718de9ab4af49">
  <xsd:schema xmlns:xsd="http://www.w3.org/2001/XMLSchema" xmlns:xs="http://www.w3.org/2001/XMLSchema" xmlns:p="http://schemas.microsoft.com/office/2006/metadata/properties" xmlns:ns3="a27ee4d1-1ae6-474f-bf25-8a2ec8a50702" targetNamespace="http://schemas.microsoft.com/office/2006/metadata/properties" ma:root="true" ma:fieldsID="01b72eff12ab0134f1bde595c586d248" ns3:_="">
    <xsd:import namespace="a27ee4d1-1ae6-474f-bf25-8a2ec8a507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ee4d1-1ae6-474f-bf25-8a2ec8a50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E0F86-5D55-405B-994B-CBF299B97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1A26A1-F5E2-41CE-B8FC-99D2CB7EB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ee4d1-1ae6-474f-bf25-8a2ec8a50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3C950-F7BA-46C1-9125-B731BA192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Deusen</dc:creator>
  <cp:keywords/>
  <dc:description/>
  <cp:lastModifiedBy>Paula Frey</cp:lastModifiedBy>
  <cp:revision>4</cp:revision>
  <dcterms:created xsi:type="dcterms:W3CDTF">2025-05-19T21:51:00Z</dcterms:created>
  <dcterms:modified xsi:type="dcterms:W3CDTF">2025-05-19T21:55:00Z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0x010100F23E5DC375B70C40A053B35883690016</vt:lpwstr>
  </property>
  <property fmtid="{D5CDD505-2E9C-101B-9397-08002B2CF9AE}" pid="3" name="MediaServiceImageTags">
    <vt:lpwstr/>
  </property>
</Properties>
</file>