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EE0F" w14:textId="77777777" w:rsidR="00C22314" w:rsidRPr="00C22314" w:rsidRDefault="00C22314" w:rsidP="00C22314">
      <w:proofErr w:type="gramStart"/>
      <w:r w:rsidRPr="00C22314">
        <w:t>Current</w:t>
      </w:r>
      <w:proofErr w:type="gramEnd"/>
      <w:r w:rsidRPr="00C22314">
        <w:t xml:space="preserve"> breakdown of $9,050,000 in assets that includes the Goldman Sachs funds.</w:t>
      </w:r>
    </w:p>
    <w:p w14:paraId="4C8CA684" w14:textId="77777777" w:rsidR="00C22314" w:rsidRPr="00C22314" w:rsidRDefault="00C22314" w:rsidP="00C22314">
      <w:pPr>
        <w:numPr>
          <w:ilvl w:val="0"/>
          <w:numId w:val="1"/>
        </w:numPr>
      </w:pPr>
      <w:r w:rsidRPr="00C22314">
        <w:t>61% equities.</w:t>
      </w:r>
    </w:p>
    <w:p w14:paraId="4ADCF377" w14:textId="77777777" w:rsidR="00C22314" w:rsidRPr="00C22314" w:rsidRDefault="00C22314" w:rsidP="00C22314">
      <w:pPr>
        <w:numPr>
          <w:ilvl w:val="0"/>
          <w:numId w:val="1"/>
        </w:numPr>
      </w:pPr>
      <w:r w:rsidRPr="00C22314">
        <w:t>1% alternatives.</w:t>
      </w:r>
    </w:p>
    <w:p w14:paraId="1974EA15" w14:textId="77777777" w:rsidR="00C22314" w:rsidRPr="00C22314" w:rsidRDefault="00C22314" w:rsidP="00C22314">
      <w:pPr>
        <w:numPr>
          <w:ilvl w:val="0"/>
          <w:numId w:val="1"/>
        </w:numPr>
      </w:pPr>
      <w:r w:rsidRPr="00C22314">
        <w:t>6% bonds.</w:t>
      </w:r>
    </w:p>
    <w:p w14:paraId="3544F6E7" w14:textId="77777777" w:rsidR="00C22314" w:rsidRPr="00C22314" w:rsidRDefault="00C22314" w:rsidP="00C22314">
      <w:pPr>
        <w:numPr>
          <w:ilvl w:val="0"/>
          <w:numId w:val="1"/>
        </w:numPr>
      </w:pPr>
      <w:r w:rsidRPr="00C22314">
        <w:t>32% cash.</w:t>
      </w:r>
    </w:p>
    <w:p w14:paraId="31C0DC80" w14:textId="77777777" w:rsidR="00C22314" w:rsidRPr="00C22314" w:rsidRDefault="00C22314" w:rsidP="00C22314"/>
    <w:p w14:paraId="4ED7F982" w14:textId="77777777" w:rsidR="00C22314" w:rsidRPr="00C22314" w:rsidRDefault="00C22314" w:rsidP="00C22314">
      <w:r w:rsidRPr="00C22314">
        <w:t>Allocation recommendation for combined portfolios.</w:t>
      </w:r>
    </w:p>
    <w:p w14:paraId="4E8BD65A" w14:textId="77777777" w:rsidR="00C22314" w:rsidRPr="00C22314" w:rsidRDefault="00C22314" w:rsidP="00C22314">
      <w:pPr>
        <w:numPr>
          <w:ilvl w:val="0"/>
          <w:numId w:val="1"/>
        </w:numPr>
      </w:pPr>
      <w:r w:rsidRPr="00C22314">
        <w:t>50% equity - $4,600,000</w:t>
      </w:r>
    </w:p>
    <w:p w14:paraId="65AB2AA3" w14:textId="77777777" w:rsidR="00C22314" w:rsidRPr="00C22314" w:rsidRDefault="00C22314" w:rsidP="00C22314">
      <w:pPr>
        <w:numPr>
          <w:ilvl w:val="0"/>
          <w:numId w:val="1"/>
        </w:numPr>
      </w:pPr>
      <w:r w:rsidRPr="00C22314">
        <w:t>30% alternatives - $2,760,000</w:t>
      </w:r>
    </w:p>
    <w:p w14:paraId="728F974A" w14:textId="77777777" w:rsidR="00C22314" w:rsidRPr="00C22314" w:rsidRDefault="00C22314" w:rsidP="00C22314">
      <w:pPr>
        <w:numPr>
          <w:ilvl w:val="0"/>
          <w:numId w:val="1"/>
        </w:numPr>
      </w:pPr>
      <w:r w:rsidRPr="00C22314">
        <w:t>20% bonds &amp; cash - $1,840,000</w:t>
      </w:r>
    </w:p>
    <w:p w14:paraId="09ABD731" w14:textId="77777777" w:rsidR="00C22314" w:rsidRPr="00C22314" w:rsidRDefault="00C22314" w:rsidP="00C22314"/>
    <w:p w14:paraId="206B1618" w14:textId="77777777" w:rsidR="00C22314" w:rsidRPr="00C22314" w:rsidRDefault="00C22314" w:rsidP="00C22314">
      <w:r w:rsidRPr="00C22314">
        <w:t>Taxable Assets - $5,200,000.</w:t>
      </w:r>
    </w:p>
    <w:p w14:paraId="473B5F66" w14:textId="77777777" w:rsidR="00C22314" w:rsidRPr="00C22314" w:rsidRDefault="00C22314" w:rsidP="00C22314">
      <w:pPr>
        <w:numPr>
          <w:ilvl w:val="0"/>
          <w:numId w:val="1"/>
        </w:numPr>
      </w:pPr>
      <w:r w:rsidRPr="00C22314">
        <w:t>$1.7 million investment in equities with over $1 million of unrealized gains.</w:t>
      </w:r>
    </w:p>
    <w:p w14:paraId="4BC7AD3C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 xml:space="preserve">Per previous discussion, would be a good fit for </w:t>
      </w:r>
      <w:proofErr w:type="spellStart"/>
      <w:r w:rsidRPr="00C22314">
        <w:rPr>
          <w:b/>
          <w:bCs/>
        </w:rPr>
        <w:t>Quantinno</w:t>
      </w:r>
      <w:proofErr w:type="spellEnd"/>
      <w:r w:rsidRPr="00C22314">
        <w:t xml:space="preserve">. </w:t>
      </w:r>
      <w:r w:rsidRPr="00C22314">
        <w:rPr>
          <w:b/>
          <w:bCs/>
        </w:rPr>
        <w:t>Information attached</w:t>
      </w:r>
    </w:p>
    <w:p w14:paraId="464DC730" w14:textId="77777777" w:rsidR="00C22314" w:rsidRPr="00C22314" w:rsidRDefault="00C22314" w:rsidP="00C22314">
      <w:pPr>
        <w:numPr>
          <w:ilvl w:val="2"/>
          <w:numId w:val="1"/>
        </w:numPr>
      </w:pPr>
      <w:r w:rsidRPr="00C22314">
        <w:t>Discuss further on a future call</w:t>
      </w:r>
    </w:p>
    <w:p w14:paraId="30DF67F6" w14:textId="77777777" w:rsidR="00C22314" w:rsidRPr="00C22314" w:rsidRDefault="00C22314" w:rsidP="00C22314">
      <w:pPr>
        <w:numPr>
          <w:ilvl w:val="0"/>
          <w:numId w:val="1"/>
        </w:numPr>
      </w:pPr>
      <w:r w:rsidRPr="00C22314">
        <w:t>Current municipals and cash reserves to Mackay and directly held Nuveen.</w:t>
      </w:r>
    </w:p>
    <w:p w14:paraId="05A414F3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 xml:space="preserve">$1,000,000 to </w:t>
      </w:r>
      <w:r w:rsidRPr="00C22314">
        <w:rPr>
          <w:b/>
          <w:bCs/>
          <w:u w:val="single"/>
        </w:rPr>
        <w:t>Mackay Municipal Opportunities LP.</w:t>
      </w:r>
      <w:r w:rsidRPr="00C22314">
        <w:rPr>
          <w:b/>
          <w:bCs/>
        </w:rPr>
        <w:t xml:space="preserve"> Information attached</w:t>
      </w:r>
    </w:p>
    <w:p w14:paraId="02C453D2" w14:textId="77777777" w:rsidR="00C22314" w:rsidRPr="00C22314" w:rsidRDefault="00C22314" w:rsidP="00C22314">
      <w:pPr>
        <w:numPr>
          <w:ilvl w:val="2"/>
          <w:numId w:val="1"/>
        </w:numPr>
      </w:pPr>
      <w:r w:rsidRPr="00C22314">
        <w:t>Municipal investment with unique structure to provide upside against the municipal market.</w:t>
      </w:r>
    </w:p>
    <w:p w14:paraId="40D052D7" w14:textId="77777777" w:rsidR="00C22314" w:rsidRPr="00C22314" w:rsidRDefault="00C22314" w:rsidP="00C22314">
      <w:pPr>
        <w:numPr>
          <w:ilvl w:val="2"/>
          <w:numId w:val="1"/>
        </w:numPr>
      </w:pPr>
      <w:r w:rsidRPr="00C22314">
        <w:t>Distribution yield of 4.5% that is almost entirely tax free.</w:t>
      </w:r>
    </w:p>
    <w:p w14:paraId="1306DAC0" w14:textId="77777777" w:rsidR="00C22314" w:rsidRPr="00C22314" w:rsidRDefault="00C22314" w:rsidP="00C22314">
      <w:pPr>
        <w:numPr>
          <w:ilvl w:val="2"/>
          <w:numId w:val="1"/>
        </w:numPr>
      </w:pPr>
      <w:r w:rsidRPr="00C22314">
        <w:t>At the highest income bracket, this is 7.14%.</w:t>
      </w:r>
    </w:p>
    <w:p w14:paraId="0902BDA9" w14:textId="77777777" w:rsidR="00C22314" w:rsidRPr="00C22314" w:rsidRDefault="00C22314" w:rsidP="00C22314">
      <w:pPr>
        <w:numPr>
          <w:ilvl w:val="2"/>
          <w:numId w:val="1"/>
        </w:numPr>
      </w:pPr>
      <w:r w:rsidRPr="00C22314">
        <w:t>K1 investment.  $250,000 minimum.</w:t>
      </w:r>
    </w:p>
    <w:p w14:paraId="4932C1EE" w14:textId="77777777" w:rsidR="00C22314" w:rsidRPr="00C22314" w:rsidRDefault="00C22314" w:rsidP="00C22314">
      <w:pPr>
        <w:numPr>
          <w:ilvl w:val="2"/>
          <w:numId w:val="1"/>
        </w:numPr>
      </w:pPr>
      <w:r w:rsidRPr="00C22314">
        <w:t>Monthly liquidity.</w:t>
      </w:r>
    </w:p>
    <w:p w14:paraId="3B469084" w14:textId="77777777" w:rsidR="00C22314" w:rsidRPr="00C22314" w:rsidRDefault="00C22314" w:rsidP="00C22314">
      <w:pPr>
        <w:numPr>
          <w:ilvl w:val="2"/>
          <w:numId w:val="1"/>
        </w:numPr>
      </w:pPr>
      <w:r w:rsidRPr="00C22314">
        <w:t xml:space="preserve">Has outperformed the Bloomberg Municipal Index by 1.61% annually since inception. </w:t>
      </w:r>
    </w:p>
    <w:p w14:paraId="1D22F59E" w14:textId="77777777" w:rsidR="00C22314" w:rsidRPr="00C22314" w:rsidRDefault="00C22314" w:rsidP="00C22314">
      <w:pPr>
        <w:numPr>
          <w:ilvl w:val="2"/>
          <w:numId w:val="1"/>
        </w:numPr>
      </w:pPr>
      <w:r w:rsidRPr="00C22314">
        <w:t>2023 return of 6.68%.</w:t>
      </w:r>
    </w:p>
    <w:p w14:paraId="613563D2" w14:textId="77777777" w:rsidR="00C22314" w:rsidRPr="00C22314" w:rsidRDefault="00C22314" w:rsidP="00C22314">
      <w:pPr>
        <w:numPr>
          <w:ilvl w:val="2"/>
          <w:numId w:val="1"/>
        </w:numPr>
      </w:pPr>
      <w:r w:rsidRPr="00C22314">
        <w:lastRenderedPageBreak/>
        <w:t xml:space="preserve">2024 return of 1.86% </w:t>
      </w:r>
    </w:p>
    <w:p w14:paraId="58435CAF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 xml:space="preserve">$840,000 to Nuveen directly held. </w:t>
      </w:r>
    </w:p>
    <w:p w14:paraId="2B4786E8" w14:textId="77777777" w:rsidR="00C22314" w:rsidRPr="00C22314" w:rsidRDefault="00C22314" w:rsidP="00C22314">
      <w:pPr>
        <w:numPr>
          <w:ilvl w:val="0"/>
          <w:numId w:val="1"/>
        </w:numPr>
      </w:pPr>
      <w:r w:rsidRPr="00C22314">
        <w:t xml:space="preserve">$500,000 to </w:t>
      </w:r>
      <w:r w:rsidRPr="00C22314">
        <w:rPr>
          <w:b/>
          <w:bCs/>
          <w:u w:val="single"/>
        </w:rPr>
        <w:t>FS Credit REIT.</w:t>
      </w:r>
      <w:r w:rsidRPr="00C22314">
        <w:rPr>
          <w:b/>
          <w:bCs/>
        </w:rPr>
        <w:t xml:space="preserve"> Information attached</w:t>
      </w:r>
    </w:p>
    <w:p w14:paraId="720F4A3F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Seeks to generate an alternative source of income, preserve capital and realize long-term appreciation.</w:t>
      </w:r>
    </w:p>
    <w:p w14:paraId="4FA0362B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Commercial real estate credit fund, looking for 3–7-year loans.</w:t>
      </w:r>
    </w:p>
    <w:p w14:paraId="504ADD05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 xml:space="preserve">Does not own the properties directly like a standard REIT would. </w:t>
      </w:r>
    </w:p>
    <w:p w14:paraId="630DFB01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 xml:space="preserve">Distribution yield of over 7.6%. </w:t>
      </w:r>
    </w:p>
    <w:p w14:paraId="2A634EAC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 xml:space="preserve">Private REIT provides 20% tax free distribution. </w:t>
      </w:r>
    </w:p>
    <w:p w14:paraId="3ECDF93F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1099 tax reporting, monthly liquidity.</w:t>
      </w:r>
    </w:p>
    <w:p w14:paraId="7EDFBAC7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2024 return of 7.08%.</w:t>
      </w:r>
    </w:p>
    <w:p w14:paraId="680D5CC7" w14:textId="77777777" w:rsidR="00C22314" w:rsidRPr="00C22314" w:rsidRDefault="00C22314" w:rsidP="00C22314">
      <w:pPr>
        <w:numPr>
          <w:ilvl w:val="0"/>
          <w:numId w:val="1"/>
        </w:numPr>
      </w:pPr>
      <w:r w:rsidRPr="00C22314">
        <w:t xml:space="preserve">$660,000 to be invested in </w:t>
      </w:r>
      <w:r w:rsidRPr="00C22314">
        <w:rPr>
          <w:b/>
          <w:bCs/>
          <w:u w:val="single"/>
        </w:rPr>
        <w:t>Blackstone Private Credit. (BCRED)</w:t>
      </w:r>
      <w:r w:rsidRPr="00C22314">
        <w:rPr>
          <w:b/>
          <w:bCs/>
        </w:rPr>
        <w:t xml:space="preserve"> Information attached</w:t>
      </w:r>
    </w:p>
    <w:p w14:paraId="63AD1B21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Invests in senior private corporate loans</w:t>
      </w:r>
    </w:p>
    <w:p w14:paraId="02F69CDB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Current distribution yield: 10.4%</w:t>
      </w:r>
    </w:p>
    <w:p w14:paraId="49EC2532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96% of investments in senior secured debt</w:t>
      </w:r>
    </w:p>
    <w:p w14:paraId="035BCC62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Tax reporting: 1099</w:t>
      </w:r>
    </w:p>
    <w:p w14:paraId="73BC6E37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Quarterly liquidity</w:t>
      </w:r>
    </w:p>
    <w:p w14:paraId="1EDD310A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2% sale fee if sold within 1 year</w:t>
      </w:r>
    </w:p>
    <w:p w14:paraId="26AF0641" w14:textId="77777777" w:rsidR="00C22314" w:rsidRPr="00C22314" w:rsidRDefault="00C22314" w:rsidP="00C22314">
      <w:pPr>
        <w:numPr>
          <w:ilvl w:val="0"/>
          <w:numId w:val="1"/>
        </w:numPr>
      </w:pPr>
      <w:r w:rsidRPr="00C22314">
        <w:t xml:space="preserve">$500,000 to be invested in </w:t>
      </w:r>
      <w:r w:rsidRPr="00C22314">
        <w:rPr>
          <w:b/>
          <w:bCs/>
          <w:u w:val="single"/>
        </w:rPr>
        <w:t>Hamilton Lane.</w:t>
      </w:r>
      <w:r w:rsidRPr="00C22314">
        <w:rPr>
          <w:b/>
          <w:bCs/>
        </w:rPr>
        <w:t xml:space="preserve"> Information attached</w:t>
      </w:r>
    </w:p>
    <w:p w14:paraId="238FB93E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Diversified portfolio seeking attractive returns with potentially lower volatility than public markets</w:t>
      </w:r>
    </w:p>
    <w:p w14:paraId="5BC239E4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Exposure to direct equity, direct credit, and secondary investments</w:t>
      </w:r>
    </w:p>
    <w:p w14:paraId="4533CCC6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Evergreen structure, fully funded upfront with no capital calls</w:t>
      </w:r>
    </w:p>
    <w:p w14:paraId="6F43A5D0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Annualized return since 2020 inception: 16.5%</w:t>
      </w:r>
    </w:p>
    <w:p w14:paraId="113D0D42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Minimum investment: $50,000 with 1099 reporting</w:t>
      </w:r>
    </w:p>
    <w:p w14:paraId="6E3257A5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Quarterly redemptions with a 1-year soft lock</w:t>
      </w:r>
    </w:p>
    <w:p w14:paraId="1C593766" w14:textId="77777777" w:rsidR="00C22314" w:rsidRPr="00C22314" w:rsidRDefault="00C22314" w:rsidP="00C22314">
      <w:pPr>
        <w:numPr>
          <w:ilvl w:val="0"/>
          <w:numId w:val="1"/>
        </w:numPr>
      </w:pPr>
      <w:r w:rsidRPr="00C22314">
        <w:lastRenderedPageBreak/>
        <w:t xml:space="preserve">$250,000 in </w:t>
      </w:r>
      <w:r w:rsidRPr="00C22314">
        <w:rPr>
          <w:b/>
          <w:bCs/>
          <w:u w:val="single"/>
        </w:rPr>
        <w:t>Blue Owl GP Stakes.</w:t>
      </w:r>
      <w:r w:rsidRPr="00C22314">
        <w:rPr>
          <w:b/>
          <w:bCs/>
        </w:rPr>
        <w:t xml:space="preserve"> Information attached</w:t>
      </w:r>
    </w:p>
    <w:p w14:paraId="25AF119B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Seeks to make minority equity investments in alternative asset managers.</w:t>
      </w:r>
    </w:p>
    <w:p w14:paraId="48434113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 xml:space="preserve">Competitive advantages are </w:t>
      </w:r>
      <w:proofErr w:type="gramStart"/>
      <w:r w:rsidRPr="00C22314">
        <w:t>significant</w:t>
      </w:r>
      <w:proofErr w:type="gramEnd"/>
      <w:r w:rsidRPr="00C22314">
        <w:t xml:space="preserve"> completing 88% of all GP Stakes deals over $600 million. </w:t>
      </w:r>
    </w:p>
    <w:p w14:paraId="5724409B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 xml:space="preserve">Return streams stem predominantly from the management fee, carried interest, and balance sheet of your minority equity ownership of an alternative asset management company. </w:t>
      </w:r>
    </w:p>
    <w:p w14:paraId="24CF57D2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Investment strategy is designed to provide a steady long-term income stream for investors, with return targets of 1x MOIC after years 5-7 and 2x MOIC after year 10 from cash-on-cash yield.</w:t>
      </w:r>
    </w:p>
    <w:p w14:paraId="4168E124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This translates to an attractive mid-to-high-teen cash-on-cash yield on invested capital.</w:t>
      </w:r>
    </w:p>
    <w:p w14:paraId="6F91F15A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Liquidity provision begins on the 10</w:t>
      </w:r>
      <w:r w:rsidRPr="00C22314">
        <w:rPr>
          <w:vertAlign w:val="superscript"/>
        </w:rPr>
        <w:t>th</w:t>
      </w:r>
      <w:r w:rsidRPr="00C22314">
        <w:t xml:space="preserve"> anniversary of the fund and every 3yrs thereafter</w:t>
      </w:r>
    </w:p>
    <w:p w14:paraId="4CE4EA47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 xml:space="preserve">K-1 Tax reporting </w:t>
      </w:r>
    </w:p>
    <w:p w14:paraId="04FC84E2" w14:textId="77777777" w:rsidR="00C22314" w:rsidRPr="00C22314" w:rsidRDefault="00C22314" w:rsidP="00C22314">
      <w:pPr>
        <w:numPr>
          <w:ilvl w:val="0"/>
          <w:numId w:val="1"/>
        </w:numPr>
      </w:pPr>
      <w:r w:rsidRPr="00C22314">
        <w:t xml:space="preserve">$250,000 to </w:t>
      </w:r>
      <w:r w:rsidRPr="00C22314">
        <w:rPr>
          <w:b/>
          <w:bCs/>
          <w:u w:val="single"/>
        </w:rPr>
        <w:t>Blue Owl Private Credit.</w:t>
      </w:r>
      <w:r w:rsidRPr="00C22314">
        <w:rPr>
          <w:b/>
          <w:bCs/>
        </w:rPr>
        <w:t xml:space="preserve"> Information attached</w:t>
      </w:r>
    </w:p>
    <w:p w14:paraId="66827278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Non-traded business development company generating income through loans to U.S. middle market companies</w:t>
      </w:r>
    </w:p>
    <w:p w14:paraId="356E516B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88% first lien senior secured loans</w:t>
      </w:r>
    </w:p>
    <w:p w14:paraId="643637F5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Current distribution rate: 10.16%</w:t>
      </w:r>
    </w:p>
    <w:p w14:paraId="0F0D93CA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Tax reporting: 1099</w:t>
      </w:r>
    </w:p>
    <w:p w14:paraId="16EB616F" w14:textId="77777777" w:rsidR="00C22314" w:rsidRPr="00C22314" w:rsidRDefault="00C22314" w:rsidP="00C22314">
      <w:pPr>
        <w:numPr>
          <w:ilvl w:val="1"/>
          <w:numId w:val="1"/>
        </w:numPr>
        <w:rPr>
          <w:b/>
          <w:bCs/>
          <w:u w:val="single"/>
        </w:rPr>
      </w:pPr>
      <w:r w:rsidRPr="00C22314">
        <w:t>Quarterly liquidity</w:t>
      </w:r>
    </w:p>
    <w:p w14:paraId="5F05A9E0" w14:textId="77777777" w:rsidR="00C22314" w:rsidRPr="00C22314" w:rsidRDefault="00C22314" w:rsidP="00C22314"/>
    <w:p w14:paraId="7752EC4F" w14:textId="77777777" w:rsidR="00C22314" w:rsidRPr="00C22314" w:rsidRDefault="00C22314" w:rsidP="00C22314">
      <w:r w:rsidRPr="00C22314">
        <w:t>Retirement Assets - $3,850,000</w:t>
      </w:r>
    </w:p>
    <w:p w14:paraId="43408F28" w14:textId="77777777" w:rsidR="00C22314" w:rsidRPr="00C22314" w:rsidRDefault="00C22314" w:rsidP="00C22314">
      <w:pPr>
        <w:numPr>
          <w:ilvl w:val="0"/>
          <w:numId w:val="1"/>
        </w:numPr>
      </w:pPr>
      <w:r w:rsidRPr="00C22314">
        <w:t>Roth IRA move to QQQ - $6,700.</w:t>
      </w:r>
    </w:p>
    <w:p w14:paraId="1EC0C022" w14:textId="77777777" w:rsidR="00C22314" w:rsidRPr="00C22314" w:rsidRDefault="00C22314" w:rsidP="00C22314">
      <w:pPr>
        <w:numPr>
          <w:ilvl w:val="0"/>
          <w:numId w:val="1"/>
        </w:numPr>
      </w:pPr>
      <w:r w:rsidRPr="00C22314">
        <w:t xml:space="preserve">keep his 401k invested fully in equities at $2,270,000 and an additional $80,000 profit sharing. </w:t>
      </w:r>
    </w:p>
    <w:p w14:paraId="6397A095" w14:textId="77777777" w:rsidR="00C22314" w:rsidRPr="00C22314" w:rsidRDefault="00C22314" w:rsidP="00C22314">
      <w:pPr>
        <w:numPr>
          <w:ilvl w:val="0"/>
          <w:numId w:val="1"/>
        </w:numPr>
      </w:pPr>
      <w:r w:rsidRPr="00C22314">
        <w:t>to keep her work 401k entirely invested in equities at $75,000.</w:t>
      </w:r>
    </w:p>
    <w:p w14:paraId="4AF851DD" w14:textId="77777777" w:rsidR="00C22314" w:rsidRPr="00C22314" w:rsidRDefault="00C22314" w:rsidP="00C22314">
      <w:pPr>
        <w:numPr>
          <w:ilvl w:val="0"/>
          <w:numId w:val="1"/>
        </w:numPr>
      </w:pPr>
      <w:r w:rsidRPr="00C22314">
        <w:lastRenderedPageBreak/>
        <w:t xml:space="preserve">IRA of $237k to sell SMID manager and be invested fully in </w:t>
      </w:r>
      <w:r w:rsidRPr="00C22314">
        <w:rPr>
          <w:b/>
          <w:bCs/>
          <w:u w:val="single"/>
        </w:rPr>
        <w:t>Blackstone Private Equity BXPE.</w:t>
      </w:r>
      <w:r w:rsidRPr="00C22314">
        <w:rPr>
          <w:b/>
          <w:bCs/>
        </w:rPr>
        <w:t xml:space="preserve"> (information attached)</w:t>
      </w:r>
    </w:p>
    <w:p w14:paraId="33696E0B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Invests across Blackstone's private equity platform, targeting the best opportunities</w:t>
      </w:r>
    </w:p>
    <w:p w14:paraId="6EAF5EE8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Allocation to true private equity, secondary offerings, and liquid investments</w:t>
      </w:r>
    </w:p>
    <w:p w14:paraId="58D8CBFD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Target IRR: 12-15% annually</w:t>
      </w:r>
    </w:p>
    <w:p w14:paraId="10167D5C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Tax reporting: K-1</w:t>
      </w:r>
    </w:p>
    <w:p w14:paraId="49D3DABC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Quarterly liquidity up to 3% total asset cap</w:t>
      </w:r>
    </w:p>
    <w:p w14:paraId="5F7B2D7F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24-month soft lock with a 5% early sales fee</w:t>
      </w:r>
    </w:p>
    <w:p w14:paraId="138D3AC1" w14:textId="77777777" w:rsidR="00C22314" w:rsidRPr="00C22314" w:rsidRDefault="00C22314" w:rsidP="00C22314">
      <w:pPr>
        <w:numPr>
          <w:ilvl w:val="0"/>
          <w:numId w:val="1"/>
        </w:numPr>
      </w:pPr>
      <w:r w:rsidRPr="00C22314">
        <w:t xml:space="preserve">Move $475,000 of Ritu’s IRA to </w:t>
      </w:r>
      <w:r w:rsidRPr="00C22314">
        <w:rPr>
          <w:b/>
          <w:bCs/>
          <w:u w:val="single"/>
        </w:rPr>
        <w:t xml:space="preserve">ACAP / </w:t>
      </w:r>
      <w:proofErr w:type="spellStart"/>
      <w:r w:rsidRPr="00C22314">
        <w:rPr>
          <w:b/>
          <w:bCs/>
          <w:u w:val="single"/>
        </w:rPr>
        <w:t>Alkeon</w:t>
      </w:r>
      <w:proofErr w:type="spellEnd"/>
      <w:r w:rsidRPr="00C22314">
        <w:t>.</w:t>
      </w:r>
      <w:r w:rsidRPr="00C22314">
        <w:rPr>
          <w:b/>
          <w:bCs/>
        </w:rPr>
        <w:t xml:space="preserve"> Information attached</w:t>
      </w:r>
    </w:p>
    <w:p w14:paraId="2C13BAE2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Long/short growth manager that is alpha generating with higher risk for potential higher returns.</w:t>
      </w:r>
    </w:p>
    <w:p w14:paraId="0BF52F7F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Annualized return of 12.39% since inception, compared to 5.07% for MSCI World</w:t>
      </w:r>
    </w:p>
    <w:p w14:paraId="582BC1E0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 xml:space="preserve">$10,000 minimum for ACAP - $5 Million minimum for </w:t>
      </w:r>
      <w:proofErr w:type="spellStart"/>
      <w:r w:rsidRPr="00C22314">
        <w:t>Alkeon</w:t>
      </w:r>
      <w:proofErr w:type="spellEnd"/>
      <w:r w:rsidRPr="00C22314">
        <w:t>.</w:t>
      </w:r>
    </w:p>
    <w:p w14:paraId="21B984B2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Quarterly redemptions</w:t>
      </w:r>
    </w:p>
    <w:p w14:paraId="65245DBB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2023 Return of 28.95%.  </w:t>
      </w:r>
    </w:p>
    <w:p w14:paraId="3F2CAA32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2024 through November of 29.6%.</w:t>
      </w:r>
    </w:p>
    <w:p w14:paraId="2F8A2325" w14:textId="77777777" w:rsidR="00C22314" w:rsidRPr="00C22314" w:rsidRDefault="00C22314" w:rsidP="00C22314">
      <w:pPr>
        <w:numPr>
          <w:ilvl w:val="0"/>
          <w:numId w:val="1"/>
        </w:numPr>
      </w:pPr>
      <w:r w:rsidRPr="00C22314">
        <w:t xml:space="preserve">IRA $250,000 to </w:t>
      </w:r>
      <w:r w:rsidRPr="00C22314">
        <w:rPr>
          <w:b/>
          <w:bCs/>
          <w:u w:val="single"/>
        </w:rPr>
        <w:t>CAZ Private Sports III.</w:t>
      </w:r>
      <w:r w:rsidRPr="00C22314">
        <w:rPr>
          <w:b/>
          <w:bCs/>
        </w:rPr>
        <w:t xml:space="preserve"> Information attached</w:t>
      </w:r>
    </w:p>
    <w:p w14:paraId="61731A41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Third round of investing alongside Arctos Fund II in professional sports teams</w:t>
      </w:r>
    </w:p>
    <w:p w14:paraId="17C32B53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Diversified allocation across various sports, including NFL teams</w:t>
      </w:r>
    </w:p>
    <w:p w14:paraId="3561BE5C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No correlation to standard equity markets</w:t>
      </w:r>
    </w:p>
    <w:p w14:paraId="01D09389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2020 vintage Net IRR: 22.6%</w:t>
      </w:r>
    </w:p>
    <w:p w14:paraId="39B8A684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Minimum lockup: 2 years</w:t>
      </w:r>
    </w:p>
    <w:p w14:paraId="7BD8F530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Tax reporting: K-1</w:t>
      </w:r>
    </w:p>
    <w:p w14:paraId="4D431E1C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Minimum investment: $250,000</w:t>
      </w:r>
    </w:p>
    <w:p w14:paraId="22E6F2C3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Fee: 1.75% with 20% carried interest over 8%</w:t>
      </w:r>
    </w:p>
    <w:p w14:paraId="10FBED79" w14:textId="77777777" w:rsidR="00C22314" w:rsidRPr="00C22314" w:rsidRDefault="00C22314" w:rsidP="00C22314">
      <w:pPr>
        <w:numPr>
          <w:ilvl w:val="0"/>
          <w:numId w:val="1"/>
        </w:numPr>
      </w:pPr>
      <w:r w:rsidRPr="00C22314">
        <w:lastRenderedPageBreak/>
        <w:t xml:space="preserve">IRA $450,000 </w:t>
      </w:r>
      <w:r w:rsidRPr="00C22314">
        <w:rPr>
          <w:b/>
          <w:bCs/>
          <w:u w:val="single"/>
        </w:rPr>
        <w:t>Blue Owl Private Credit.</w:t>
      </w:r>
      <w:r w:rsidRPr="00C22314">
        <w:t xml:space="preserve"> </w:t>
      </w:r>
      <w:r w:rsidRPr="00C22314">
        <w:rPr>
          <w:b/>
          <w:bCs/>
        </w:rPr>
        <w:t>Information attached</w:t>
      </w:r>
    </w:p>
    <w:p w14:paraId="2BD1EB23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Non-traded business development company generating income through loans to U.S. middle market companies</w:t>
      </w:r>
    </w:p>
    <w:p w14:paraId="2F366FB0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88% first lien senior secured loans</w:t>
      </w:r>
    </w:p>
    <w:p w14:paraId="566781D6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Current distribution rate: 10.16%</w:t>
      </w:r>
    </w:p>
    <w:p w14:paraId="5BECD2D8" w14:textId="77777777" w:rsidR="00C22314" w:rsidRPr="00C22314" w:rsidRDefault="00C22314" w:rsidP="00C22314">
      <w:pPr>
        <w:numPr>
          <w:ilvl w:val="1"/>
          <w:numId w:val="1"/>
        </w:numPr>
      </w:pPr>
      <w:r w:rsidRPr="00C22314">
        <w:t>Tax reporting: 1099</w:t>
      </w:r>
    </w:p>
    <w:p w14:paraId="27619C16" w14:textId="77777777" w:rsidR="00C22314" w:rsidRPr="00C22314" w:rsidRDefault="00C22314" w:rsidP="00C22314">
      <w:pPr>
        <w:numPr>
          <w:ilvl w:val="1"/>
          <w:numId w:val="1"/>
        </w:numPr>
        <w:rPr>
          <w:b/>
          <w:bCs/>
          <w:u w:val="single"/>
        </w:rPr>
      </w:pPr>
      <w:r w:rsidRPr="00C22314">
        <w:t>Quarterly liquidity</w:t>
      </w:r>
    </w:p>
    <w:p w14:paraId="585E3869" w14:textId="77777777" w:rsidR="00B50BCD" w:rsidRDefault="00B50BCD"/>
    <w:sectPr w:rsidR="00B50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6248B"/>
    <w:multiLevelType w:val="hybridMultilevel"/>
    <w:tmpl w:val="051E9196"/>
    <w:lvl w:ilvl="0" w:tplc="D938E552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95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14"/>
    <w:rsid w:val="001D5965"/>
    <w:rsid w:val="0026314F"/>
    <w:rsid w:val="00626108"/>
    <w:rsid w:val="006977AA"/>
    <w:rsid w:val="007B5B7D"/>
    <w:rsid w:val="00904174"/>
    <w:rsid w:val="00B50BCD"/>
    <w:rsid w:val="00C00D69"/>
    <w:rsid w:val="00C22314"/>
    <w:rsid w:val="00C7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5DDA"/>
  <w15:chartTrackingRefBased/>
  <w15:docId w15:val="{22BC1AAF-D532-4C0D-B8BE-EC9BC21A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3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a18ff1-9148-4a63-9bb5-69bf1f8721d3">
      <Terms xmlns="http://schemas.microsoft.com/office/infopath/2007/PartnerControls"/>
    </lcf76f155ced4ddcb4097134ff3c332f>
    <TaxCatchAll xmlns="0586afe6-2814-4cb5-92c4-af72f2aea3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32D408BF91848964C9A72B99A6DAF" ma:contentTypeVersion="14" ma:contentTypeDescription="Create a new document." ma:contentTypeScope="" ma:versionID="d6f9dd0d8bf1cca4b8831c981d85d5a2">
  <xsd:schema xmlns:xsd="http://www.w3.org/2001/XMLSchema" xmlns:xs="http://www.w3.org/2001/XMLSchema" xmlns:p="http://schemas.microsoft.com/office/2006/metadata/properties" xmlns:ns2="0586afe6-2814-4cb5-92c4-af72f2aea325" xmlns:ns3="4ba18ff1-9148-4a63-9bb5-69bf1f8721d3" targetNamespace="http://schemas.microsoft.com/office/2006/metadata/properties" ma:root="true" ma:fieldsID="564d8893cb84803f26d5734e581fa705" ns2:_="" ns3:_="">
    <xsd:import namespace="0586afe6-2814-4cb5-92c4-af72f2aea325"/>
    <xsd:import namespace="4ba18ff1-9148-4a63-9bb5-69bf1f872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8ff1-9148-4a63-9bb5-69bf1f872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820FD-7D35-48E4-AA49-612C66231F83}">
  <ds:schemaRefs>
    <ds:schemaRef ds:uri="http://schemas.microsoft.com/office/2006/metadata/properties"/>
    <ds:schemaRef ds:uri="http://schemas.microsoft.com/office/infopath/2007/PartnerControls"/>
    <ds:schemaRef ds:uri="4ba18ff1-9148-4a63-9bb5-69bf1f8721d3"/>
    <ds:schemaRef ds:uri="0586afe6-2814-4cb5-92c4-af72f2aea325"/>
  </ds:schemaRefs>
</ds:datastoreItem>
</file>

<file path=customXml/itemProps2.xml><?xml version="1.0" encoding="utf-8"?>
<ds:datastoreItem xmlns:ds="http://schemas.openxmlformats.org/officeDocument/2006/customXml" ds:itemID="{6A5907DD-FC7E-4E52-8AD6-6A389ED1E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AB79B-972F-4CC3-AD62-698B91EC6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6afe6-2814-4cb5-92c4-af72f2aea325"/>
    <ds:schemaRef ds:uri="4ba18ff1-9148-4a63-9bb5-69bf1f87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Van Deusen</dc:creator>
  <cp:keywords/>
  <dc:description/>
  <cp:lastModifiedBy>Adam Van Deusen</cp:lastModifiedBy>
  <cp:revision>3</cp:revision>
  <dcterms:created xsi:type="dcterms:W3CDTF">2025-06-03T15:58:00Z</dcterms:created>
  <dcterms:modified xsi:type="dcterms:W3CDTF">2025-07-02T15:35:00Z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0x010100E6932D408BF91848964C9A72B99A6DAF</vt:lpwstr>
  </property>
  <property fmtid="{D5CDD505-2E9C-101B-9397-08002B2CF9AE}" pid="3" name="MediaServiceImageTags">
    <vt:lpwstr/>
  </property>
</Properties>
</file>