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640D" w14:textId="77777777" w:rsidR="008B647D" w:rsidRPr="0083149F" w:rsidRDefault="008B647D" w:rsidP="008B647D">
      <w:r w:rsidRPr="20D17F75">
        <w:rPr>
          <w:i/>
          <w:iCs/>
        </w:rPr>
        <w:t xml:space="preserve">Presentation: </w:t>
      </w:r>
      <w:r>
        <w:br/>
      </w:r>
      <w:r w:rsidR="00EF186F">
        <w:t>Advanced Roth Planning; How to Squeeze More Juice Out of the Tax Lemon</w:t>
      </w:r>
    </w:p>
    <w:p w14:paraId="4D840A20" w14:textId="2C95FD7F" w:rsidR="20D17F75" w:rsidRDefault="20D17F75" w:rsidP="20D17F75">
      <w:pPr>
        <w:rPr>
          <w:color w:val="000000" w:themeColor="text1"/>
          <w:sz w:val="22"/>
          <w:szCs w:val="22"/>
        </w:rPr>
      </w:pPr>
      <w:r>
        <w:br/>
      </w:r>
      <w:r w:rsidRPr="20D17F75">
        <w:rPr>
          <w:i/>
          <w:iCs/>
          <w:color w:val="000000" w:themeColor="text1"/>
        </w:rPr>
        <w:t xml:space="preserve">Presenter: </w:t>
      </w:r>
      <w:r>
        <w:br/>
      </w:r>
      <w:r w:rsidRPr="20D17F75">
        <w:rPr>
          <w:i/>
          <w:iCs/>
          <w:color w:val="000000" w:themeColor="text1"/>
        </w:rPr>
        <w:t>Jeffrey Levine, CPA/PFS, CFP</w:t>
      </w:r>
      <w:r w:rsidRPr="20D17F75">
        <w:rPr>
          <w:color w:val="000000" w:themeColor="text1"/>
          <w:sz w:val="22"/>
          <w:szCs w:val="22"/>
          <w:vertAlign w:val="superscript"/>
        </w:rPr>
        <w:t>®</w:t>
      </w:r>
      <w:r w:rsidRPr="20D17F75">
        <w:rPr>
          <w:color w:val="000000" w:themeColor="text1"/>
          <w:sz w:val="22"/>
          <w:szCs w:val="22"/>
        </w:rPr>
        <w:t>, CWS</w:t>
      </w:r>
      <w:r w:rsidRPr="20D17F75">
        <w:rPr>
          <w:color w:val="000000" w:themeColor="text1"/>
          <w:sz w:val="22"/>
          <w:szCs w:val="22"/>
          <w:vertAlign w:val="superscript"/>
        </w:rPr>
        <w:t>®</w:t>
      </w:r>
      <w:r w:rsidRPr="20D17F75">
        <w:rPr>
          <w:color w:val="000000" w:themeColor="text1"/>
          <w:sz w:val="22"/>
          <w:szCs w:val="22"/>
        </w:rPr>
        <w:t>, BFA</w:t>
      </w:r>
      <w:r w:rsidRPr="20D17F75">
        <w:rPr>
          <w:color w:val="000000" w:themeColor="text1"/>
          <w:sz w:val="22"/>
          <w:szCs w:val="22"/>
          <w:vertAlign w:val="superscript"/>
        </w:rPr>
        <w:t>®</w:t>
      </w:r>
      <w:r w:rsidRPr="20D17F75">
        <w:rPr>
          <w:color w:val="000000" w:themeColor="text1"/>
          <w:sz w:val="22"/>
          <w:szCs w:val="22"/>
        </w:rPr>
        <w:t>, MSA is the Lead Financial Planning Nerd for</w:t>
      </w:r>
      <w:r w:rsidRPr="20D17F75">
        <w:rPr>
          <w:color w:val="333333"/>
          <w:sz w:val="22"/>
          <w:szCs w:val="22"/>
        </w:rPr>
        <w:t> </w:t>
      </w:r>
      <w:hyperlink r:id="rId8">
        <w:r w:rsidRPr="20D17F75">
          <w:rPr>
            <w:rStyle w:val="Hyperlink"/>
            <w:sz w:val="22"/>
            <w:szCs w:val="22"/>
          </w:rPr>
          <w:t>Kitces.com</w:t>
        </w:r>
      </w:hyperlink>
      <w:r w:rsidRPr="20D17F75">
        <w:rPr>
          <w:color w:val="333333"/>
          <w:sz w:val="22"/>
          <w:szCs w:val="22"/>
        </w:rPr>
        <w:t xml:space="preserve"> and the Chief Planning Officer </w:t>
      </w:r>
      <w:r w:rsidRPr="20D17F75">
        <w:rPr>
          <w:color w:val="000000" w:themeColor="text1"/>
          <w:sz w:val="22"/>
          <w:szCs w:val="22"/>
        </w:rPr>
        <w:t>at</w:t>
      </w:r>
      <w:r w:rsidR="000A0C8C">
        <w:t xml:space="preserve"> Focus Partners Wealth</w:t>
      </w:r>
      <w:r w:rsidRPr="20D17F75">
        <w:rPr>
          <w:color w:val="000000" w:themeColor="text1"/>
          <w:sz w:val="22"/>
          <w:szCs w:val="22"/>
        </w:rPr>
        <w:t xml:space="preserve">. In 2020, Mr. Levine was named by Investment Advisor Magazine as one of the top 25 voices to turn to during uncertain </w:t>
      </w:r>
      <w:proofErr w:type="gramStart"/>
      <w:r w:rsidRPr="20D17F75">
        <w:rPr>
          <w:color w:val="000000" w:themeColor="text1"/>
          <w:sz w:val="22"/>
          <w:szCs w:val="22"/>
        </w:rPr>
        <w:t>times, and</w:t>
      </w:r>
      <w:proofErr w:type="gramEnd"/>
      <w:r w:rsidRPr="20D17F75">
        <w:rPr>
          <w:color w:val="000000" w:themeColor="text1"/>
          <w:sz w:val="22"/>
          <w:szCs w:val="22"/>
        </w:rPr>
        <w:t xml:space="preserve"> was named to the IA25 again in 2021. Jeff is a past recipient of the</w:t>
      </w:r>
      <w:r w:rsidRPr="20D17F75">
        <w:rPr>
          <w:color w:val="333333"/>
          <w:sz w:val="22"/>
          <w:szCs w:val="22"/>
        </w:rPr>
        <w:t> </w:t>
      </w:r>
      <w:hyperlink r:id="rId9">
        <w:r w:rsidRPr="20D17F75">
          <w:rPr>
            <w:rStyle w:val="Hyperlink"/>
            <w:sz w:val="22"/>
            <w:szCs w:val="22"/>
          </w:rPr>
          <w:t>Standing Ovation award</w:t>
        </w:r>
      </w:hyperlink>
      <w:r w:rsidRPr="20D17F75">
        <w:rPr>
          <w:color w:val="333333"/>
          <w:sz w:val="22"/>
          <w:szCs w:val="22"/>
        </w:rPr>
        <w:t xml:space="preserve">, </w:t>
      </w:r>
      <w:r w:rsidRPr="20D17F75">
        <w:rPr>
          <w:color w:val="000000" w:themeColor="text1"/>
          <w:sz w:val="22"/>
          <w:szCs w:val="22"/>
        </w:rPr>
        <w:t>presented by the AICPA Financial Planning Division, was named to the</w:t>
      </w:r>
      <w:r w:rsidRPr="20D17F75">
        <w:rPr>
          <w:color w:val="333333"/>
          <w:sz w:val="22"/>
          <w:szCs w:val="22"/>
        </w:rPr>
        <w:t> </w:t>
      </w:r>
      <w:hyperlink r:id="rId10">
        <w:r w:rsidRPr="20D17F75">
          <w:rPr>
            <w:rStyle w:val="Hyperlink"/>
            <w:sz w:val="22"/>
            <w:szCs w:val="22"/>
          </w:rPr>
          <w:t>2017 class of 40 Under 40</w:t>
        </w:r>
      </w:hyperlink>
      <w:r w:rsidRPr="20D17F75">
        <w:rPr>
          <w:color w:val="333333"/>
          <w:sz w:val="22"/>
          <w:szCs w:val="22"/>
        </w:rPr>
        <w:t> </w:t>
      </w:r>
      <w:r w:rsidRPr="20D17F75">
        <w:rPr>
          <w:color w:val="000000" w:themeColor="text1"/>
          <w:sz w:val="22"/>
          <w:szCs w:val="22"/>
        </w:rPr>
        <w:t xml:space="preserve">by </w:t>
      </w:r>
      <w:proofErr w:type="spellStart"/>
      <w:r w:rsidRPr="20D17F75">
        <w:rPr>
          <w:color w:val="000000" w:themeColor="text1"/>
          <w:sz w:val="22"/>
          <w:szCs w:val="22"/>
        </w:rPr>
        <w:t>InvestmentNews</w:t>
      </w:r>
      <w:proofErr w:type="spellEnd"/>
      <w:r w:rsidRPr="20D17F75">
        <w:rPr>
          <w:color w:val="000000" w:themeColor="text1"/>
          <w:sz w:val="22"/>
          <w:szCs w:val="22"/>
        </w:rPr>
        <w:t>, and as a Young Advisor to Watch by Financial Advisor Magazine in 2020. Previously, Jeffrey served as Ed Slott and Company’s Chief Retirement Strategist, where his ability to simplify the complex laws that govern individual retirement accounts, combined with his unique blend of humor and tax planning, was first recognized. You can follow Jeff on Twitter</w:t>
      </w:r>
      <w:r w:rsidRPr="20D17F75">
        <w:rPr>
          <w:color w:val="333333"/>
          <w:sz w:val="22"/>
          <w:szCs w:val="22"/>
        </w:rPr>
        <w:t> </w:t>
      </w:r>
      <w:hyperlink r:id="rId11">
        <w:r w:rsidRPr="20D17F75">
          <w:rPr>
            <w:rStyle w:val="Hyperlink"/>
            <w:sz w:val="22"/>
            <w:szCs w:val="22"/>
          </w:rPr>
          <w:t>@CPAPlanner</w:t>
        </w:r>
      </w:hyperlink>
      <w:r w:rsidRPr="20D17F75">
        <w:rPr>
          <w:color w:val="333333"/>
          <w:sz w:val="22"/>
          <w:szCs w:val="22"/>
        </w:rPr>
        <w:t xml:space="preserve">, where he is known to break down the latest tax updates in GIF-filled tweets storms, </w:t>
      </w:r>
      <w:r w:rsidRPr="20D17F75">
        <w:rPr>
          <w:color w:val="000000" w:themeColor="text1"/>
          <w:sz w:val="22"/>
          <w:szCs w:val="22"/>
        </w:rPr>
        <w:t xml:space="preserve">and via his personal website, </w:t>
      </w:r>
      <w:r w:rsidRPr="20D17F75">
        <w:rPr>
          <w:sz w:val="22"/>
          <w:szCs w:val="22"/>
        </w:rPr>
        <w:t>www.FullyVestedAdvice.com</w:t>
      </w:r>
      <w:r w:rsidRPr="20D17F75">
        <w:rPr>
          <w:color w:val="000000" w:themeColor="text1"/>
          <w:sz w:val="22"/>
          <w:szCs w:val="22"/>
        </w:rPr>
        <w:t>.</w:t>
      </w:r>
    </w:p>
    <w:p w14:paraId="6C3F3C0C" w14:textId="6F50BF40" w:rsidR="20D17F75" w:rsidRDefault="20D17F75" w:rsidP="20D17F75"/>
    <w:p w14:paraId="33604F6F" w14:textId="09E9A6F1" w:rsidR="008B647D" w:rsidRDefault="008B647D" w:rsidP="2DE48DC7"/>
    <w:p w14:paraId="0A37501D" w14:textId="77777777" w:rsidR="001E7837" w:rsidRPr="0083149F" w:rsidRDefault="001E7837" w:rsidP="00147352"/>
    <w:p w14:paraId="116B1A29" w14:textId="77777777" w:rsidR="008B647D" w:rsidRPr="00DB78C1" w:rsidRDefault="008B647D" w:rsidP="008B647D">
      <w:pPr>
        <w:rPr>
          <w:i/>
        </w:rPr>
      </w:pPr>
      <w:r w:rsidRPr="00DB78C1">
        <w:rPr>
          <w:i/>
        </w:rPr>
        <w:t>Session Description:</w:t>
      </w:r>
    </w:p>
    <w:p w14:paraId="2E3114B6" w14:textId="26C83C54" w:rsidR="00646738" w:rsidRDefault="00EF186F" w:rsidP="008B647D">
      <w:r w:rsidRPr="00EF186F">
        <w:t xml:space="preserve">A core concept of tax planning is to pay taxes at the lowest rates. But what will your clients’ tax rates be when they need to access their retirement funds? That unknown is a major risk for many retirees, but </w:t>
      </w:r>
      <w:r w:rsidR="009774CD" w:rsidRPr="00EF186F">
        <w:t>it is</w:t>
      </w:r>
      <w:r w:rsidRPr="00EF186F">
        <w:t xml:space="preserve"> a risk that a Roth IRA conversion can help to reduce and/or eliminate. In this session attendees will gain an understanding of critical Roth conversion rules, as well as some of the advanced conversion strategies that practitioners can use to help clients transition as much money as possible from tax-deferred accounts to tax-free accounts at the lowest cost.</w:t>
      </w:r>
    </w:p>
    <w:p w14:paraId="5DAB6C7B" w14:textId="77777777" w:rsidR="00EF186F" w:rsidRDefault="00EF186F" w:rsidP="00147352">
      <w:pPr>
        <w:rPr>
          <w:i/>
        </w:rPr>
      </w:pPr>
    </w:p>
    <w:p w14:paraId="0531BC1C" w14:textId="77777777" w:rsidR="00147352" w:rsidRDefault="00147352" w:rsidP="00147352">
      <w:r>
        <w:rPr>
          <w:i/>
        </w:rPr>
        <w:t>Learning Objectives:</w:t>
      </w:r>
    </w:p>
    <w:p w14:paraId="5258974C" w14:textId="77777777" w:rsidR="00EF186F" w:rsidRDefault="00147352" w:rsidP="00EF186F">
      <w:pPr>
        <w:spacing w:line="276" w:lineRule="auto"/>
      </w:pPr>
      <w:r>
        <w:t xml:space="preserve">- </w:t>
      </w:r>
      <w:r w:rsidR="00BD1F06">
        <w:t>LO #1</w:t>
      </w:r>
      <w:r w:rsidR="008436DE">
        <w:t xml:space="preserve">: </w:t>
      </w:r>
      <w:r w:rsidR="00EF186F">
        <w:t xml:space="preserve">Gain an understanding of the core rules governing Roth IRA conversions </w:t>
      </w:r>
    </w:p>
    <w:p w14:paraId="02EB378F" w14:textId="77777777" w:rsidR="00147352" w:rsidRDefault="00147352" w:rsidP="008436DE">
      <w:pPr>
        <w:ind w:left="900" w:hanging="900"/>
      </w:pPr>
    </w:p>
    <w:p w14:paraId="4A82E7AD" w14:textId="77777777" w:rsidR="00EF186F" w:rsidRDefault="00147352" w:rsidP="00EF186F">
      <w:pPr>
        <w:ind w:left="900" w:hanging="900"/>
      </w:pPr>
      <w:r>
        <w:t xml:space="preserve">- </w:t>
      </w:r>
      <w:r w:rsidR="00BD1F06">
        <w:t>LO #2</w:t>
      </w:r>
      <w:r w:rsidR="008436DE">
        <w:t xml:space="preserve">: </w:t>
      </w:r>
      <w:r w:rsidR="00EF186F">
        <w:t>Learn how to analyze the merits of a Roth conversion in the “real world”</w:t>
      </w:r>
    </w:p>
    <w:p w14:paraId="6A05A809" w14:textId="77777777" w:rsidR="008436DE" w:rsidRDefault="008436DE" w:rsidP="008436DE">
      <w:pPr>
        <w:ind w:left="900" w:hanging="900"/>
      </w:pPr>
    </w:p>
    <w:p w14:paraId="769D6025" w14:textId="77777777" w:rsidR="00EF186F" w:rsidRDefault="00147352" w:rsidP="00EF186F">
      <w:pPr>
        <w:spacing w:line="276" w:lineRule="auto"/>
      </w:pPr>
      <w:r>
        <w:t xml:space="preserve">- </w:t>
      </w:r>
      <w:r w:rsidR="00BD1F06">
        <w:t>LO #3</w:t>
      </w:r>
      <w:r w:rsidR="008436DE">
        <w:t xml:space="preserve">: </w:t>
      </w:r>
      <w:r w:rsidR="00EF186F">
        <w:t xml:space="preserve">Develop an understanding of advanced Roth IRA conversion techniques </w:t>
      </w:r>
    </w:p>
    <w:p w14:paraId="5A39BBE3" w14:textId="77777777" w:rsidR="00147352" w:rsidRDefault="00147352" w:rsidP="008436DE">
      <w:pPr>
        <w:ind w:left="900" w:hanging="900"/>
      </w:pPr>
    </w:p>
    <w:p w14:paraId="3DE94B7D" w14:textId="77777777" w:rsidR="00147352" w:rsidRDefault="00147352" w:rsidP="008436DE">
      <w:pPr>
        <w:ind w:left="900" w:hanging="900"/>
      </w:pPr>
      <w:r>
        <w:t xml:space="preserve">- </w:t>
      </w:r>
      <w:r w:rsidR="00BD1F06">
        <w:t>LO #4</w:t>
      </w:r>
      <w:r w:rsidR="008436DE">
        <w:t xml:space="preserve">: </w:t>
      </w:r>
      <w:r w:rsidR="004223D1">
        <w:t>Explore</w:t>
      </w:r>
      <w:r w:rsidR="00EF186F">
        <w:t xml:space="preserve"> ways that the Tax Cuts and Jobs Act impacts Roth IRA conversion planning</w:t>
      </w:r>
    </w:p>
    <w:p w14:paraId="41C8F396" w14:textId="77777777" w:rsidR="008436DE" w:rsidRDefault="008436DE" w:rsidP="008436DE">
      <w:pPr>
        <w:ind w:left="900" w:hanging="900"/>
      </w:pPr>
    </w:p>
    <w:p w14:paraId="0719A2CB" w14:textId="77777777" w:rsidR="00BD1F06" w:rsidRDefault="00BD1F06" w:rsidP="008436DE">
      <w:pPr>
        <w:ind w:left="900" w:hanging="900"/>
      </w:pPr>
      <w:r>
        <w:t>- LO #5</w:t>
      </w:r>
      <w:r w:rsidR="008436DE">
        <w:t xml:space="preserve">: </w:t>
      </w:r>
      <w:r w:rsidR="004223D1">
        <w:t>Identify the ways that Roth IRAs and designated Roth accounts are different</w:t>
      </w:r>
    </w:p>
    <w:p w14:paraId="72A3D3EC" w14:textId="77777777" w:rsidR="00147352" w:rsidRDefault="00147352" w:rsidP="00147352">
      <w:pPr>
        <w:rPr>
          <w:i/>
        </w:rPr>
      </w:pPr>
    </w:p>
    <w:p w14:paraId="27041862" w14:textId="77777777" w:rsidR="00147352" w:rsidRPr="00886F9D" w:rsidRDefault="00147352" w:rsidP="00147352">
      <w:pPr>
        <w:rPr>
          <w:i/>
        </w:rPr>
      </w:pPr>
      <w:r>
        <w:rPr>
          <w:i/>
        </w:rPr>
        <w:t>Level of Complexity:</w:t>
      </w:r>
    </w:p>
    <w:p w14:paraId="2D111951" w14:textId="77777777" w:rsidR="00147352" w:rsidRDefault="00147352" w:rsidP="00147352">
      <w:r>
        <w:t xml:space="preserve">- </w:t>
      </w:r>
      <w:r w:rsidR="00BD1F06">
        <w:t xml:space="preserve">&lt; Beginner / Intermediate / </w:t>
      </w:r>
      <w:r w:rsidRPr="00EF186F">
        <w:rPr>
          <w:highlight w:val="yellow"/>
        </w:rPr>
        <w:t>Advanced</w:t>
      </w:r>
      <w:r w:rsidR="00BD1F06" w:rsidRPr="00EF186F">
        <w:rPr>
          <w:highlight w:val="yellow"/>
        </w:rPr>
        <w:t>&gt;</w:t>
      </w:r>
    </w:p>
    <w:p w14:paraId="0D0B940D" w14:textId="77777777" w:rsidR="00147352" w:rsidRDefault="00147352" w:rsidP="00147352"/>
    <w:p w14:paraId="44ECB684" w14:textId="77777777" w:rsidR="00147352" w:rsidRDefault="00147352" w:rsidP="00147352">
      <w:r>
        <w:rPr>
          <w:i/>
        </w:rPr>
        <w:t>Topic Area(s):</w:t>
      </w:r>
    </w:p>
    <w:p w14:paraId="178AE646" w14:textId="77777777" w:rsidR="00147352" w:rsidRPr="00886F9D" w:rsidRDefault="00147352" w:rsidP="00147352">
      <w:r>
        <w:t xml:space="preserve">- </w:t>
      </w:r>
      <w:r w:rsidR="00BD1F06">
        <w:t xml:space="preserve">&lt; </w:t>
      </w:r>
      <w:r w:rsidR="00BD1F06" w:rsidRPr="00EF186F">
        <w:rPr>
          <w:highlight w:val="yellow"/>
        </w:rPr>
        <w:t>General Principles of Financial Planning</w:t>
      </w:r>
      <w:r w:rsidR="00BD1F06">
        <w:t xml:space="preserve"> / Insurance Planning / Investment Planning / </w:t>
      </w:r>
      <w:r w:rsidR="00BD1F06" w:rsidRPr="00EF186F">
        <w:rPr>
          <w:highlight w:val="yellow"/>
        </w:rPr>
        <w:t xml:space="preserve">Income Tax Planning / </w:t>
      </w:r>
      <w:r w:rsidRPr="00EF186F">
        <w:rPr>
          <w:highlight w:val="yellow"/>
        </w:rPr>
        <w:t>Retirement Planning</w:t>
      </w:r>
      <w:r w:rsidR="00BD1F06" w:rsidRPr="00EF186F">
        <w:rPr>
          <w:highlight w:val="yellow"/>
        </w:rPr>
        <w:t xml:space="preserve"> / Estate Planning</w:t>
      </w:r>
      <w:r w:rsidR="00BD1F06">
        <w:t xml:space="preserve"> / Client Trust &amp; Communication &gt;</w:t>
      </w:r>
    </w:p>
    <w:p w14:paraId="0E27B00A" w14:textId="77777777" w:rsidR="00147352" w:rsidRDefault="00147352" w:rsidP="00147352"/>
    <w:p w14:paraId="713235D8" w14:textId="77777777" w:rsidR="00147352" w:rsidRPr="00886F9D" w:rsidRDefault="00147352" w:rsidP="00147352">
      <w:pPr>
        <w:rPr>
          <w:i/>
        </w:rPr>
      </w:pPr>
      <w:r>
        <w:rPr>
          <w:i/>
        </w:rPr>
        <w:t>Hour(s) of CE:</w:t>
      </w:r>
    </w:p>
    <w:p w14:paraId="3F85E605" w14:textId="77777777" w:rsidR="00147352" w:rsidRDefault="00147352" w:rsidP="00147352">
      <w:r>
        <w:t xml:space="preserve">- </w:t>
      </w:r>
      <w:r w:rsidR="00BD1F06" w:rsidRPr="00EF186F">
        <w:rPr>
          <w:highlight w:val="yellow"/>
        </w:rPr>
        <w:t>&lt; 1 hour</w:t>
      </w:r>
      <w:r w:rsidR="00BD1F06">
        <w:t xml:space="preserve"> / 1.5 hours / 2 hours &gt;</w:t>
      </w:r>
    </w:p>
    <w:p w14:paraId="60061E4C" w14:textId="77777777" w:rsidR="00147352" w:rsidRDefault="00147352" w:rsidP="008B647D"/>
    <w:p w14:paraId="01B6B41B" w14:textId="77777777" w:rsidR="005E7A5D" w:rsidRPr="00147352" w:rsidRDefault="00147352">
      <w:pPr>
        <w:rPr>
          <w:i/>
        </w:rPr>
      </w:pPr>
      <w:r>
        <w:rPr>
          <w:i/>
        </w:rPr>
        <w:br w:type="page"/>
      </w:r>
      <w:r>
        <w:rPr>
          <w:i/>
        </w:rPr>
        <w:lastRenderedPageBreak/>
        <w:t>Outline:</w:t>
      </w:r>
    </w:p>
    <w:p w14:paraId="7CA0880F" w14:textId="77777777" w:rsidR="00EF186F" w:rsidRDefault="00EF186F" w:rsidP="00EF186F">
      <w:pPr>
        <w:numPr>
          <w:ilvl w:val="0"/>
          <w:numId w:val="1"/>
        </w:numPr>
        <w:spacing w:line="276" w:lineRule="auto"/>
      </w:pPr>
      <w:r>
        <w:t>Roth IRA conversion rules…………………………………………………….  10 minutes</w:t>
      </w:r>
    </w:p>
    <w:p w14:paraId="75D03E7D" w14:textId="77777777" w:rsidR="00EF186F" w:rsidRDefault="00EF186F" w:rsidP="00EF186F">
      <w:pPr>
        <w:numPr>
          <w:ilvl w:val="0"/>
          <w:numId w:val="1"/>
        </w:numPr>
        <w:spacing w:line="276" w:lineRule="auto"/>
      </w:pPr>
      <w:r>
        <w:t>Understanding the TCJA’s Impact on Roth conversion planning……………... 10 minutes</w:t>
      </w:r>
    </w:p>
    <w:p w14:paraId="6853802B" w14:textId="35DBF5B4" w:rsidR="00EF186F" w:rsidRDefault="00EF186F" w:rsidP="00EF186F">
      <w:pPr>
        <w:numPr>
          <w:ilvl w:val="0"/>
          <w:numId w:val="1"/>
        </w:numPr>
        <w:spacing w:line="276" w:lineRule="auto"/>
      </w:pPr>
      <w:r>
        <w:t xml:space="preserve">Roth </w:t>
      </w:r>
      <w:r w:rsidR="009774CD">
        <w:t>Conversion tax implications……...</w:t>
      </w:r>
      <w:r>
        <w:t>……………………………………… 10 minutes</w:t>
      </w:r>
    </w:p>
    <w:p w14:paraId="08A784E0" w14:textId="77777777" w:rsidR="00EF186F" w:rsidRDefault="00EF186F" w:rsidP="00EF186F">
      <w:pPr>
        <w:numPr>
          <w:ilvl w:val="0"/>
          <w:numId w:val="1"/>
        </w:numPr>
        <w:spacing w:line="276" w:lineRule="auto"/>
      </w:pPr>
      <w:r>
        <w:t>Overview of advanced Roth IRA conversion planning techniques………….... 25 minutes</w:t>
      </w:r>
    </w:p>
    <w:p w14:paraId="713E466C" w14:textId="77777777" w:rsidR="00CA5C63" w:rsidRPr="004223D1" w:rsidRDefault="00CA5C63" w:rsidP="00CA5C63">
      <w:pPr>
        <w:numPr>
          <w:ilvl w:val="0"/>
          <w:numId w:val="1"/>
        </w:numPr>
        <w:spacing w:line="360" w:lineRule="auto"/>
        <w:rPr>
          <w:sz w:val="22"/>
          <w:szCs w:val="22"/>
        </w:rPr>
      </w:pPr>
      <w:r w:rsidRPr="00CA5C63">
        <w:rPr>
          <w:sz w:val="22"/>
          <w:szCs w:val="22"/>
        </w:rPr>
        <w:t>Summary &amp; Q&amp;A</w:t>
      </w:r>
      <w:r w:rsidR="00EF186F" w:rsidRPr="004223D1">
        <w:rPr>
          <w:sz w:val="22"/>
          <w:szCs w:val="22"/>
        </w:rPr>
        <w:t>……………………………………………………………………</w:t>
      </w:r>
      <w:r w:rsidR="004223D1" w:rsidRPr="004223D1">
        <w:rPr>
          <w:sz w:val="22"/>
          <w:szCs w:val="22"/>
        </w:rPr>
        <w:t>...</w:t>
      </w:r>
      <w:r w:rsidR="00EF186F" w:rsidRPr="004223D1">
        <w:rPr>
          <w:sz w:val="22"/>
          <w:szCs w:val="22"/>
        </w:rPr>
        <w:t xml:space="preserve"> </w:t>
      </w:r>
      <w:r w:rsidR="005B696B" w:rsidRPr="004223D1">
        <w:rPr>
          <w:sz w:val="22"/>
          <w:szCs w:val="22"/>
        </w:rPr>
        <w:t>10</w:t>
      </w:r>
      <w:r w:rsidRPr="004223D1">
        <w:rPr>
          <w:sz w:val="22"/>
          <w:szCs w:val="22"/>
        </w:rPr>
        <w:t xml:space="preserve"> minutes</w:t>
      </w:r>
    </w:p>
    <w:p w14:paraId="1F3B9BBC" w14:textId="77777777" w:rsidR="00CA5C63" w:rsidRPr="004223D1" w:rsidRDefault="004223D1" w:rsidP="004223D1">
      <w:pPr>
        <w:ind w:left="6480"/>
        <w:rPr>
          <w:sz w:val="22"/>
          <w:szCs w:val="22"/>
        </w:rPr>
      </w:pPr>
      <w:r>
        <w:rPr>
          <w:sz w:val="22"/>
          <w:szCs w:val="22"/>
        </w:rPr>
        <w:t xml:space="preserve">               Total: </w:t>
      </w:r>
      <w:r w:rsidR="00CA5C63" w:rsidRPr="004223D1">
        <w:rPr>
          <w:sz w:val="22"/>
          <w:szCs w:val="22"/>
        </w:rPr>
        <w:tab/>
      </w:r>
      <w:r w:rsidR="005B696B" w:rsidRPr="004223D1">
        <w:rPr>
          <w:sz w:val="22"/>
          <w:szCs w:val="22"/>
        </w:rPr>
        <w:t>60</w:t>
      </w:r>
      <w:r w:rsidR="00CA5C63" w:rsidRPr="004223D1">
        <w:rPr>
          <w:sz w:val="22"/>
          <w:szCs w:val="22"/>
        </w:rPr>
        <w:t xml:space="preserve"> minutes</w:t>
      </w:r>
    </w:p>
    <w:p w14:paraId="44EAFD9C" w14:textId="77777777" w:rsidR="00BD1F06" w:rsidRPr="00CA5C63" w:rsidRDefault="00BD1F06" w:rsidP="00CA5C63">
      <w:pPr>
        <w:ind w:left="5760"/>
        <w:rPr>
          <w:sz w:val="22"/>
          <w:szCs w:val="22"/>
        </w:rPr>
      </w:pPr>
    </w:p>
    <w:sectPr w:rsidR="00BD1F06" w:rsidRPr="00CA5C63" w:rsidSect="005E7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2E3F"/>
    <w:multiLevelType w:val="multilevel"/>
    <w:tmpl w:val="DFB48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C2CC3"/>
    <w:multiLevelType w:val="hybridMultilevel"/>
    <w:tmpl w:val="5ECE67A6"/>
    <w:lvl w:ilvl="0" w:tplc="8E6069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3B0775"/>
    <w:multiLevelType w:val="multilevel"/>
    <w:tmpl w:val="96920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92733403">
    <w:abstractNumId w:val="1"/>
  </w:num>
  <w:num w:numId="2" w16cid:durableId="2069573104">
    <w:abstractNumId w:val="0"/>
  </w:num>
  <w:num w:numId="3" w16cid:durableId="1925988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0A0C8C"/>
    <w:rsid w:val="00147352"/>
    <w:rsid w:val="001E7837"/>
    <w:rsid w:val="002352A6"/>
    <w:rsid w:val="00246D60"/>
    <w:rsid w:val="00250807"/>
    <w:rsid w:val="002F5158"/>
    <w:rsid w:val="00340F52"/>
    <w:rsid w:val="003D16BC"/>
    <w:rsid w:val="004223D1"/>
    <w:rsid w:val="00591CA0"/>
    <w:rsid w:val="005B696B"/>
    <w:rsid w:val="005E7A5D"/>
    <w:rsid w:val="00646738"/>
    <w:rsid w:val="006D4297"/>
    <w:rsid w:val="008436DE"/>
    <w:rsid w:val="008B647D"/>
    <w:rsid w:val="008C36BF"/>
    <w:rsid w:val="009774CD"/>
    <w:rsid w:val="00BD1F06"/>
    <w:rsid w:val="00C4355B"/>
    <w:rsid w:val="00C92846"/>
    <w:rsid w:val="00CA5C63"/>
    <w:rsid w:val="00CB3C37"/>
    <w:rsid w:val="00D54696"/>
    <w:rsid w:val="00D81E8C"/>
    <w:rsid w:val="00DA6967"/>
    <w:rsid w:val="00EA11F3"/>
    <w:rsid w:val="00EF186F"/>
    <w:rsid w:val="00F0758B"/>
    <w:rsid w:val="00FD0508"/>
    <w:rsid w:val="00FE2DE0"/>
    <w:rsid w:val="00FF1735"/>
    <w:rsid w:val="20D17F75"/>
    <w:rsid w:val="2DE48DC7"/>
    <w:rsid w:val="61768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64ED"/>
  <w15:chartTrackingRefBased/>
  <w15:docId w15:val="{C32C6FC1-D9E2-489B-A216-91A0F381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7D"/>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4791">
      <w:bodyDiv w:val="1"/>
      <w:marLeft w:val="0"/>
      <w:marRight w:val="0"/>
      <w:marTop w:val="0"/>
      <w:marBottom w:val="0"/>
      <w:divBdr>
        <w:top w:val="none" w:sz="0" w:space="0" w:color="auto"/>
        <w:left w:val="none" w:sz="0" w:space="0" w:color="auto"/>
        <w:bottom w:val="none" w:sz="0" w:space="0" w:color="auto"/>
        <w:right w:val="none" w:sz="0" w:space="0" w:color="auto"/>
      </w:divBdr>
    </w:div>
    <w:div w:id="110048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tce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CPAPlanner" TargetMode="External"/><Relationship Id="rId5" Type="http://schemas.openxmlformats.org/officeDocument/2006/relationships/styles" Target="styles.xml"/><Relationship Id="rId10" Type="http://schemas.openxmlformats.org/officeDocument/2006/relationships/hyperlink" Target="http://www.investmentnews.com/section/40-under-40/2017/profile/24/Jeffrey-Levine" TargetMode="External"/><Relationship Id="rId4" Type="http://schemas.openxmlformats.org/officeDocument/2006/relationships/numbering" Target="numbering.xml"/><Relationship Id="rId9" Type="http://schemas.openxmlformats.org/officeDocument/2006/relationships/hyperlink" Target="https://www.aicpa.org/press/pressreleases/2017/aicpa-announces-standing-ovation-honors-in-personal-financial-plan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2" ma:contentTypeDescription="Create a new document." ma:contentTypeScope="" ma:versionID="0da8304a8646b9ccd562cc51a7ffa7f7">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0440a44396b1cf22754dff9252265f65"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520CE-FDF4-46C8-B289-F5D750F2AAC4}">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AC8262C5-2709-4F90-B0AD-9D301E37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c36299cd-0576-437f-98bf-37f8447c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CAF81-8CA8-43D7-859F-2D4A8F03F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MKitces</dc:creator>
  <cp:keywords/>
  <cp:lastModifiedBy>Paula Frey</cp:lastModifiedBy>
  <cp:revision>3</cp:revision>
  <dcterms:created xsi:type="dcterms:W3CDTF">2023-08-17T16:56:00Z</dcterms:created>
  <dcterms:modified xsi:type="dcterms:W3CDTF">2025-05-01T16:08:00Z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