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15" w:type="dxa"/>
          <w:right w:w="115" w:type="dxa"/>
        </w:tblCellMar>
        <w:tblLook w:val="0600" w:firstRow="0" w:lastRow="0" w:firstColumn="0" w:lastColumn="0" w:noHBand="1" w:noVBand="1"/>
      </w:tblPr>
      <w:tblGrid>
        <w:gridCol w:w="9360"/>
      </w:tblGrid>
      <w:tr w:rsidR="006C65ED" w:rsidRPr="0092125E" w14:paraId="34E506E7" w14:textId="77777777" w:rsidTr="00E00F22">
        <w:tc>
          <w:tcPr>
            <w:tcW w:w="9360" w:type="dxa"/>
            <w:vAlign w:val="center"/>
          </w:tcPr>
          <w:p w14:paraId="6D7176BC" w14:textId="69FB4830" w:rsidR="006C65ED" w:rsidRPr="007B2A21" w:rsidRDefault="006C65ED" w:rsidP="005854DB">
            <w:pPr>
              <w:pStyle w:val="Title"/>
              <w:rPr>
                <w:noProof/>
                <w:sz w:val="2"/>
                <w:szCs w:val="2"/>
              </w:rPr>
            </w:pPr>
          </w:p>
        </w:tc>
      </w:tr>
      <w:tr w:rsidR="00CD01FD" w:rsidRPr="00CD01FD" w14:paraId="7980A6DB" w14:textId="77777777" w:rsidTr="00E00F22">
        <w:trPr>
          <w:trHeight w:val="576"/>
        </w:trPr>
        <w:tc>
          <w:tcPr>
            <w:tcW w:w="9360" w:type="dxa"/>
            <w:tcBorders>
              <w:bottom w:val="single" w:sz="24" w:space="0" w:color="F0CDA1" w:themeColor="accent1"/>
            </w:tcBorders>
            <w:shd w:val="clear" w:color="auto" w:fill="auto"/>
          </w:tcPr>
          <w:p w14:paraId="4EBE66F5" w14:textId="0CDD4ECC" w:rsidR="00CD01FD" w:rsidRPr="00CD01FD" w:rsidRDefault="00760405" w:rsidP="004E210B">
            <w:pPr>
              <w:pStyle w:val="Heading1"/>
            </w:pPr>
            <w:r>
              <w:t xml:space="preserve">Hiring </w:t>
            </w:r>
            <w:r w:rsidR="00E00F22">
              <w:t>A</w:t>
            </w:r>
            <w:r>
              <w:t xml:space="preserve"> </w:t>
            </w:r>
            <w:r w:rsidR="00E00F22">
              <w:t>N</w:t>
            </w:r>
            <w:r>
              <w:t>ew IAR</w:t>
            </w:r>
            <w:r w:rsidR="00E00F22">
              <w:t xml:space="preserve"> – </w:t>
            </w:r>
            <w:r w:rsidR="00E00F22" w:rsidRPr="00E00F22">
              <w:t>Disclosure Checklist</w:t>
            </w:r>
          </w:p>
        </w:tc>
      </w:tr>
    </w:tbl>
    <w:p w14:paraId="08B28701" w14:textId="3C848571" w:rsidR="00CD01FD" w:rsidRDefault="00CD01FD" w:rsidP="00CD01FD"/>
    <w:tbl>
      <w:tblPr>
        <w:tblW w:w="9540" w:type="dxa"/>
        <w:tblLook w:val="04A0" w:firstRow="1" w:lastRow="0" w:firstColumn="1" w:lastColumn="0" w:noHBand="0" w:noVBand="1"/>
      </w:tblPr>
      <w:tblGrid>
        <w:gridCol w:w="450"/>
        <w:gridCol w:w="8443"/>
        <w:gridCol w:w="610"/>
        <w:gridCol w:w="37"/>
      </w:tblGrid>
      <w:tr w:rsidR="003C6DC7" w14:paraId="46078F47" w14:textId="77777777" w:rsidTr="00367CF5">
        <w:tc>
          <w:tcPr>
            <w:tcW w:w="9540" w:type="dxa"/>
            <w:gridSpan w:val="4"/>
          </w:tcPr>
          <w:p w14:paraId="633799E7" w14:textId="369EBB65" w:rsidR="003C6DC7" w:rsidRPr="00367CF5" w:rsidRDefault="003C6DC7" w:rsidP="00367CF5">
            <w:pPr>
              <w:pStyle w:val="Heading1"/>
              <w:numPr>
                <w:ilvl w:val="0"/>
                <w:numId w:val="51"/>
              </w:numPr>
            </w:pPr>
            <w:r w:rsidRPr="00367CF5">
              <w:t xml:space="preserve">Review Form ADV Part </w:t>
            </w:r>
            <w:proofErr w:type="gramStart"/>
            <w:r w:rsidRPr="00367CF5">
              <w:t>1A</w:t>
            </w:r>
            <w:proofErr w:type="gramEnd"/>
          </w:p>
          <w:p w14:paraId="2F0DF89E" w14:textId="3206D774" w:rsidR="003C6DC7" w:rsidRPr="00367CF5" w:rsidRDefault="003C6DC7" w:rsidP="00367CF5">
            <w:pPr>
              <w:ind w:left="360"/>
              <w:rPr>
                <w:i/>
                <w:iCs/>
              </w:rPr>
            </w:pPr>
            <w:r w:rsidRPr="00367CF5">
              <w:rPr>
                <w:b/>
                <w:bCs/>
                <w:i/>
                <w:iCs/>
              </w:rPr>
              <w:t>Important:</w:t>
            </w:r>
            <w:r w:rsidRPr="00367CF5">
              <w:rPr>
                <w:i/>
                <w:iCs/>
              </w:rPr>
              <w:t xml:space="preserve"> Updates made to highlighted items </w:t>
            </w:r>
            <w:r>
              <w:rPr>
                <w:i/>
                <w:iCs/>
              </w:rPr>
              <w:t xml:space="preserve">(Items 1.F, 1.L, 8, 9, and 11) </w:t>
            </w:r>
            <w:r w:rsidRPr="00367CF5">
              <w:rPr>
                <w:i/>
                <w:iCs/>
              </w:rPr>
              <w:t>should be made “promptly” by submitting an other-than-annual amendment.</w:t>
            </w:r>
          </w:p>
        </w:tc>
      </w:tr>
      <w:tr w:rsidR="008E5B80" w14:paraId="01077B12" w14:textId="77777777" w:rsidTr="00367CF5">
        <w:trPr>
          <w:gridAfter w:val="2"/>
          <w:wAfter w:w="647" w:type="dxa"/>
        </w:trPr>
        <w:tc>
          <w:tcPr>
            <w:tcW w:w="8893" w:type="dxa"/>
            <w:gridSpan w:val="2"/>
          </w:tcPr>
          <w:p w14:paraId="0A01C5A2" w14:textId="3249DEC1"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highlight w:val="yellow"/>
              </w:rPr>
              <w:t>Item 1</w:t>
            </w:r>
            <w:r>
              <w:rPr>
                <w:b/>
                <w:bCs/>
                <w:color w:val="auto"/>
                <w:highlight w:val="yellow"/>
              </w:rPr>
              <w:t>.</w:t>
            </w:r>
            <w:r w:rsidRPr="00367CF5">
              <w:rPr>
                <w:b/>
                <w:bCs/>
                <w:color w:val="auto"/>
                <w:highlight w:val="yellow"/>
              </w:rPr>
              <w:t>F.</w:t>
            </w:r>
            <w:r w:rsidRPr="00F4694F">
              <w:rPr>
                <w:color w:val="auto"/>
                <w:highlight w:val="yellow"/>
              </w:rPr>
              <w:t xml:space="preserve"> Consider whether the firm should list an additional office on Schedule D, Section </w:t>
            </w:r>
            <w:proofErr w:type="gramStart"/>
            <w:r w:rsidRPr="00F4694F">
              <w:rPr>
                <w:color w:val="auto"/>
                <w:highlight w:val="yellow"/>
              </w:rPr>
              <w:t>1.F.</w:t>
            </w:r>
            <w:proofErr w:type="gramEnd"/>
          </w:p>
        </w:tc>
      </w:tr>
      <w:tr w:rsidR="008E5B80" w14:paraId="289E2D01" w14:textId="77777777" w:rsidTr="00367CF5">
        <w:trPr>
          <w:gridAfter w:val="2"/>
          <w:wAfter w:w="647" w:type="dxa"/>
        </w:trPr>
        <w:tc>
          <w:tcPr>
            <w:tcW w:w="8893" w:type="dxa"/>
            <w:gridSpan w:val="2"/>
          </w:tcPr>
          <w:p w14:paraId="13150644" w14:textId="30C0834D" w:rsidR="008E5B80" w:rsidRPr="00F4694F" w:rsidRDefault="008E5B80" w:rsidP="00367CF5">
            <w:pPr>
              <w:ind w:left="1240" w:hanging="720"/>
              <w:rPr>
                <w:color w:val="auto"/>
                <w:highlight w:val="yellow"/>
              </w:rPr>
            </w:pPr>
            <w:r>
              <w:rPr>
                <w:b/>
                <w:bCs/>
                <w:color w:val="auto"/>
              </w:rPr>
              <w:t xml:space="preserve">____ </w:t>
            </w:r>
            <w:r>
              <w:rPr>
                <w:b/>
                <w:bCs/>
                <w:color w:val="auto"/>
              </w:rPr>
              <w:tab/>
            </w:r>
            <w:r w:rsidRPr="00367CF5">
              <w:rPr>
                <w:b/>
                <w:bCs/>
                <w:color w:val="auto"/>
                <w:highlight w:val="yellow"/>
              </w:rPr>
              <w:t>Item 1.L.</w:t>
            </w:r>
            <w:r w:rsidRPr="00F4694F">
              <w:rPr>
                <w:color w:val="auto"/>
                <w:highlight w:val="yellow"/>
              </w:rPr>
              <w:t xml:space="preserve"> Consider whether the firm should list additional websites and accounts on publicly available social media platforms (LinkedIn, X, </w:t>
            </w:r>
            <w:proofErr w:type="spellStart"/>
            <w:r w:rsidRPr="00F4694F">
              <w:rPr>
                <w:color w:val="auto"/>
                <w:highlight w:val="yellow"/>
              </w:rPr>
              <w:t>FaceBook</w:t>
            </w:r>
            <w:proofErr w:type="spellEnd"/>
            <w:r w:rsidRPr="00F4694F">
              <w:rPr>
                <w:color w:val="auto"/>
                <w:highlight w:val="yellow"/>
              </w:rPr>
              <w:t xml:space="preserve">) on Schedule D., Section </w:t>
            </w:r>
            <w:proofErr w:type="gramStart"/>
            <w:r w:rsidRPr="00F4694F">
              <w:rPr>
                <w:color w:val="auto"/>
                <w:highlight w:val="yellow"/>
              </w:rPr>
              <w:t>1.l.</w:t>
            </w:r>
            <w:proofErr w:type="gramEnd"/>
          </w:p>
        </w:tc>
      </w:tr>
      <w:tr w:rsidR="008E5B80" w14:paraId="636FAFA6" w14:textId="77777777" w:rsidTr="00367CF5">
        <w:trPr>
          <w:gridAfter w:val="2"/>
          <w:wAfter w:w="647" w:type="dxa"/>
        </w:trPr>
        <w:tc>
          <w:tcPr>
            <w:tcW w:w="8893" w:type="dxa"/>
            <w:gridSpan w:val="2"/>
          </w:tcPr>
          <w:p w14:paraId="4AF2E608" w14:textId="304E6298" w:rsidR="008E5B80" w:rsidRPr="00F4694F" w:rsidRDefault="008E5B80" w:rsidP="00367CF5">
            <w:pPr>
              <w:ind w:left="1240" w:hanging="720"/>
              <w:rPr>
                <w:color w:val="auto"/>
                <w:highlight w:val="yellow"/>
              </w:rPr>
            </w:pPr>
            <w:r>
              <w:rPr>
                <w:b/>
                <w:bCs/>
                <w:color w:val="auto"/>
              </w:rPr>
              <w:t xml:space="preserve">____ </w:t>
            </w:r>
            <w:r>
              <w:rPr>
                <w:b/>
                <w:bCs/>
                <w:color w:val="auto"/>
              </w:rPr>
              <w:tab/>
            </w:r>
            <w:r w:rsidRPr="00367CF5">
              <w:rPr>
                <w:b/>
                <w:bCs/>
                <w:color w:val="auto"/>
                <w:highlight w:val="yellow"/>
              </w:rPr>
              <w:t xml:space="preserve">Item 1.L. </w:t>
            </w:r>
            <w:r w:rsidRPr="00F4694F">
              <w:rPr>
                <w:color w:val="auto"/>
                <w:highlight w:val="yellow"/>
              </w:rPr>
              <w:t xml:space="preserve">Consider whether the firm should add additional books and records locations on Schedule D. Section </w:t>
            </w:r>
            <w:proofErr w:type="gramStart"/>
            <w:r w:rsidRPr="00F4694F">
              <w:rPr>
                <w:color w:val="auto"/>
                <w:highlight w:val="yellow"/>
              </w:rPr>
              <w:t>1.L.</w:t>
            </w:r>
            <w:proofErr w:type="gramEnd"/>
          </w:p>
        </w:tc>
      </w:tr>
      <w:tr w:rsidR="008E5B80" w14:paraId="376E459F" w14:textId="77777777" w:rsidTr="00367CF5">
        <w:trPr>
          <w:gridAfter w:val="2"/>
          <w:wAfter w:w="647" w:type="dxa"/>
        </w:trPr>
        <w:tc>
          <w:tcPr>
            <w:tcW w:w="8893" w:type="dxa"/>
            <w:gridSpan w:val="2"/>
          </w:tcPr>
          <w:p w14:paraId="4C4CBFFE" w14:textId="7D4F0B6F"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2.</w:t>
            </w:r>
            <w:r w:rsidRPr="00F4694F">
              <w:rPr>
                <w:color w:val="auto"/>
              </w:rPr>
              <w:t xml:space="preserve"> Consider whether the firm should provide additional notice filings.</w:t>
            </w:r>
          </w:p>
        </w:tc>
      </w:tr>
      <w:tr w:rsidR="008E5B80" w14:paraId="5128E779" w14:textId="77777777" w:rsidTr="00367CF5">
        <w:trPr>
          <w:gridAfter w:val="2"/>
          <w:wAfter w:w="647" w:type="dxa"/>
        </w:trPr>
        <w:tc>
          <w:tcPr>
            <w:tcW w:w="8893" w:type="dxa"/>
            <w:gridSpan w:val="2"/>
          </w:tcPr>
          <w:p w14:paraId="4C3610A2" w14:textId="2090C528"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5.B.</w:t>
            </w:r>
            <w:r w:rsidRPr="00F4694F">
              <w:rPr>
                <w:color w:val="auto"/>
              </w:rPr>
              <w:t xml:space="preserve"> Update the number of employees, including IARs, broker-dealer registered representatives, insurance agents, and solicitors. </w:t>
            </w:r>
          </w:p>
        </w:tc>
      </w:tr>
      <w:tr w:rsidR="008E5B80" w14:paraId="47B25C8E" w14:textId="77777777" w:rsidTr="00367CF5">
        <w:trPr>
          <w:gridAfter w:val="2"/>
          <w:wAfter w:w="647" w:type="dxa"/>
        </w:trPr>
        <w:tc>
          <w:tcPr>
            <w:tcW w:w="8893" w:type="dxa"/>
            <w:gridSpan w:val="2"/>
          </w:tcPr>
          <w:p w14:paraId="515F14EB" w14:textId="6D46D5B6"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5.C.</w:t>
            </w:r>
            <w:r w:rsidRPr="00F4694F">
              <w:rPr>
                <w:color w:val="auto"/>
              </w:rPr>
              <w:t xml:space="preserve"> Determine whether to update firm disclosures regarding clients and regulatory assets under management.</w:t>
            </w:r>
          </w:p>
        </w:tc>
      </w:tr>
      <w:tr w:rsidR="008E5B80" w14:paraId="1DC367EB" w14:textId="77777777" w:rsidTr="00367CF5">
        <w:trPr>
          <w:gridAfter w:val="2"/>
          <w:wAfter w:w="647" w:type="dxa"/>
        </w:trPr>
        <w:tc>
          <w:tcPr>
            <w:tcW w:w="8893" w:type="dxa"/>
            <w:gridSpan w:val="2"/>
          </w:tcPr>
          <w:p w14:paraId="6E646D56" w14:textId="1E15549A"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5.D.</w:t>
            </w:r>
            <w:r w:rsidRPr="00F4694F">
              <w:rPr>
                <w:color w:val="auto"/>
              </w:rPr>
              <w:t xml:space="preserve"> Determine whether the firm should update the number of clients and regulatory assets under management. </w:t>
            </w:r>
          </w:p>
        </w:tc>
      </w:tr>
      <w:tr w:rsidR="008E5B80" w14:paraId="1A3DEFA3" w14:textId="77777777" w:rsidTr="00367CF5">
        <w:trPr>
          <w:gridAfter w:val="2"/>
          <w:wAfter w:w="647" w:type="dxa"/>
        </w:trPr>
        <w:tc>
          <w:tcPr>
            <w:tcW w:w="8893" w:type="dxa"/>
            <w:gridSpan w:val="2"/>
          </w:tcPr>
          <w:p w14:paraId="747727C7" w14:textId="5AFB9D86"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5.E.</w:t>
            </w:r>
            <w:r w:rsidRPr="00F4694F">
              <w:rPr>
                <w:color w:val="auto"/>
              </w:rPr>
              <w:t xml:space="preserve"> Determine whether the firm should update disclosures regarding compensation arrangements.</w:t>
            </w:r>
          </w:p>
        </w:tc>
      </w:tr>
      <w:tr w:rsidR="008E5B80" w14:paraId="7095B381" w14:textId="77777777" w:rsidTr="00367CF5">
        <w:trPr>
          <w:gridAfter w:val="2"/>
          <w:wAfter w:w="647" w:type="dxa"/>
        </w:trPr>
        <w:tc>
          <w:tcPr>
            <w:tcW w:w="8893" w:type="dxa"/>
            <w:gridSpan w:val="2"/>
          </w:tcPr>
          <w:p w14:paraId="1FA0A2E3" w14:textId="6ED3DAEA"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5.F.</w:t>
            </w:r>
            <w:r w:rsidRPr="00F4694F">
              <w:rPr>
                <w:color w:val="auto"/>
              </w:rPr>
              <w:t xml:space="preserve"> Determine whether the firm should update its disclosure regarding assets under management.</w:t>
            </w:r>
          </w:p>
        </w:tc>
      </w:tr>
      <w:tr w:rsidR="008E5B80" w14:paraId="3BF9A88A" w14:textId="77777777" w:rsidTr="00367CF5">
        <w:trPr>
          <w:gridAfter w:val="2"/>
          <w:wAfter w:w="647" w:type="dxa"/>
        </w:trPr>
        <w:tc>
          <w:tcPr>
            <w:tcW w:w="8893" w:type="dxa"/>
            <w:gridSpan w:val="2"/>
          </w:tcPr>
          <w:p w14:paraId="00C90CB8" w14:textId="7EBD03C3"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5.G.</w:t>
            </w:r>
            <w:r w:rsidRPr="00F4694F">
              <w:rPr>
                <w:color w:val="auto"/>
              </w:rPr>
              <w:t xml:space="preserve"> Determine whether the firm should update its disclosures regarding advisory activities. </w:t>
            </w:r>
          </w:p>
        </w:tc>
      </w:tr>
      <w:tr w:rsidR="008E5B80" w14:paraId="3B55B0CE" w14:textId="77777777" w:rsidTr="00367CF5">
        <w:trPr>
          <w:gridAfter w:val="2"/>
          <w:wAfter w:w="647" w:type="dxa"/>
        </w:trPr>
        <w:tc>
          <w:tcPr>
            <w:tcW w:w="8893" w:type="dxa"/>
            <w:gridSpan w:val="2"/>
          </w:tcPr>
          <w:p w14:paraId="68D7D6BB" w14:textId="49F2632E"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5.H.</w:t>
            </w:r>
            <w:r w:rsidRPr="00F4694F">
              <w:rPr>
                <w:color w:val="auto"/>
              </w:rPr>
              <w:t xml:space="preserve"> Determine whether to update the firm’s disclosures regarding financial planning services. </w:t>
            </w:r>
          </w:p>
        </w:tc>
      </w:tr>
      <w:tr w:rsidR="008E5B80" w14:paraId="247A3502" w14:textId="77777777" w:rsidTr="00367CF5">
        <w:trPr>
          <w:gridAfter w:val="2"/>
          <w:wAfter w:w="647" w:type="dxa"/>
        </w:trPr>
        <w:tc>
          <w:tcPr>
            <w:tcW w:w="8893" w:type="dxa"/>
            <w:gridSpan w:val="2"/>
          </w:tcPr>
          <w:p w14:paraId="65D7D7AF" w14:textId="38CBD520"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5.I.</w:t>
            </w:r>
            <w:r w:rsidRPr="00F4694F">
              <w:rPr>
                <w:color w:val="auto"/>
              </w:rPr>
              <w:t xml:space="preserve"> Determine whether to update the firm’s disclosures regarding wrap programs. </w:t>
            </w:r>
          </w:p>
        </w:tc>
      </w:tr>
      <w:tr w:rsidR="008E5B80" w14:paraId="6AA6EC85" w14:textId="77777777" w:rsidTr="00367CF5">
        <w:trPr>
          <w:gridAfter w:val="2"/>
          <w:wAfter w:w="647" w:type="dxa"/>
        </w:trPr>
        <w:tc>
          <w:tcPr>
            <w:tcW w:w="8893" w:type="dxa"/>
            <w:gridSpan w:val="2"/>
          </w:tcPr>
          <w:p w14:paraId="1E8B8CD8" w14:textId="2223B923"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5.J.</w:t>
            </w:r>
            <w:r w:rsidRPr="00F4694F">
              <w:rPr>
                <w:color w:val="auto"/>
              </w:rPr>
              <w:t xml:space="preserve"> Determine whether to update the firm’s disclosures regarding investment advice for limited types of investments and whether client assets reported in Form ADV Part 2A are computed differently than the firm’s regulatory assets under management.</w:t>
            </w:r>
          </w:p>
        </w:tc>
      </w:tr>
      <w:tr w:rsidR="008E5B80" w14:paraId="45E58ADE" w14:textId="77777777" w:rsidTr="00367CF5">
        <w:trPr>
          <w:gridAfter w:val="2"/>
          <w:wAfter w:w="647" w:type="dxa"/>
        </w:trPr>
        <w:tc>
          <w:tcPr>
            <w:tcW w:w="8893" w:type="dxa"/>
            <w:gridSpan w:val="2"/>
          </w:tcPr>
          <w:p w14:paraId="0BA4A1F2" w14:textId="3DE2BC8C"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5.K.</w:t>
            </w:r>
            <w:r w:rsidRPr="00F4694F">
              <w:rPr>
                <w:color w:val="auto"/>
              </w:rPr>
              <w:t xml:space="preserve"> Determine whether to update the firm’s disclosures regarding its separately managed accounts.</w:t>
            </w:r>
          </w:p>
        </w:tc>
      </w:tr>
      <w:tr w:rsidR="008E5B80" w14:paraId="7F52A494" w14:textId="77777777" w:rsidTr="00367CF5">
        <w:trPr>
          <w:gridAfter w:val="2"/>
          <w:wAfter w:w="647" w:type="dxa"/>
        </w:trPr>
        <w:tc>
          <w:tcPr>
            <w:tcW w:w="8893" w:type="dxa"/>
            <w:gridSpan w:val="2"/>
          </w:tcPr>
          <w:p w14:paraId="5214B438" w14:textId="7883F005" w:rsidR="008E5B80" w:rsidRPr="00F4694F" w:rsidRDefault="008E5B80" w:rsidP="00367CF5">
            <w:pPr>
              <w:ind w:left="1240" w:hanging="720"/>
              <w:rPr>
                <w:color w:val="auto"/>
              </w:rPr>
            </w:pPr>
            <w:r>
              <w:rPr>
                <w:b/>
                <w:bCs/>
                <w:color w:val="auto"/>
              </w:rPr>
              <w:lastRenderedPageBreak/>
              <w:t xml:space="preserve">____ </w:t>
            </w:r>
            <w:r>
              <w:rPr>
                <w:b/>
                <w:bCs/>
                <w:color w:val="auto"/>
              </w:rPr>
              <w:tab/>
            </w:r>
            <w:r w:rsidRPr="00367CF5">
              <w:rPr>
                <w:b/>
                <w:bCs/>
                <w:color w:val="auto"/>
              </w:rPr>
              <w:t xml:space="preserve">Item </w:t>
            </w:r>
            <w:r w:rsidR="00A64454">
              <w:rPr>
                <w:b/>
                <w:bCs/>
                <w:color w:val="auto"/>
              </w:rPr>
              <w:t>5.</w:t>
            </w:r>
            <w:r w:rsidRPr="00367CF5">
              <w:rPr>
                <w:b/>
                <w:bCs/>
                <w:color w:val="auto"/>
              </w:rPr>
              <w:t>L.</w:t>
            </w:r>
            <w:r w:rsidRPr="00F4694F">
              <w:rPr>
                <w:color w:val="auto"/>
              </w:rPr>
              <w:t xml:space="preserve"> Determine whether to update the firm’s disclosures regarding its marketing activities. </w:t>
            </w:r>
          </w:p>
        </w:tc>
      </w:tr>
      <w:tr w:rsidR="008E5B80" w14:paraId="6034CB8A" w14:textId="77777777" w:rsidTr="00367CF5">
        <w:trPr>
          <w:gridAfter w:val="2"/>
          <w:wAfter w:w="647" w:type="dxa"/>
        </w:trPr>
        <w:tc>
          <w:tcPr>
            <w:tcW w:w="8893" w:type="dxa"/>
            <w:gridSpan w:val="2"/>
          </w:tcPr>
          <w:p w14:paraId="0CC79892" w14:textId="649A4071"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6.</w:t>
            </w:r>
            <w:r w:rsidRPr="00F4694F">
              <w:rPr>
                <w:color w:val="auto"/>
              </w:rPr>
              <w:t xml:space="preserve"> Determine whether to update the disclosures about the firm’s other business activities.</w:t>
            </w:r>
          </w:p>
        </w:tc>
      </w:tr>
      <w:tr w:rsidR="008E5B80" w14:paraId="22E23870" w14:textId="77777777" w:rsidTr="00367CF5">
        <w:trPr>
          <w:gridAfter w:val="2"/>
          <w:wAfter w:w="647" w:type="dxa"/>
        </w:trPr>
        <w:tc>
          <w:tcPr>
            <w:tcW w:w="8893" w:type="dxa"/>
            <w:gridSpan w:val="2"/>
          </w:tcPr>
          <w:p w14:paraId="15F2E906" w14:textId="74B4D125"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Item 7.</w:t>
            </w:r>
            <w:r w:rsidRPr="00F4694F">
              <w:rPr>
                <w:color w:val="auto"/>
              </w:rPr>
              <w:t xml:space="preserve"> Determine whether to update the firm’s financial industry affiliations and private fund information on Item 7 of Schedule D. </w:t>
            </w:r>
          </w:p>
        </w:tc>
      </w:tr>
      <w:tr w:rsidR="008E5B80" w14:paraId="6DC01891" w14:textId="77777777" w:rsidTr="00367CF5">
        <w:trPr>
          <w:gridAfter w:val="2"/>
          <w:wAfter w:w="647" w:type="dxa"/>
        </w:trPr>
        <w:tc>
          <w:tcPr>
            <w:tcW w:w="8893" w:type="dxa"/>
            <w:gridSpan w:val="2"/>
          </w:tcPr>
          <w:p w14:paraId="6C6159D4" w14:textId="468CB492"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highlight w:val="yellow"/>
              </w:rPr>
              <w:t>Item 8.</w:t>
            </w:r>
            <w:r w:rsidRPr="00F4694F">
              <w:rPr>
                <w:color w:val="auto"/>
                <w:highlight w:val="yellow"/>
              </w:rPr>
              <w:t xml:space="preserve"> Determine whether to update information about the firm’s participation or interest in client transactions</w:t>
            </w:r>
            <w:r w:rsidRPr="00F4694F">
              <w:rPr>
                <w:color w:val="auto"/>
              </w:rPr>
              <w:t xml:space="preserve">. </w:t>
            </w:r>
          </w:p>
        </w:tc>
      </w:tr>
      <w:tr w:rsidR="008E5B80" w14:paraId="3A440072" w14:textId="77777777" w:rsidTr="00367CF5">
        <w:trPr>
          <w:gridAfter w:val="2"/>
          <w:wAfter w:w="647" w:type="dxa"/>
        </w:trPr>
        <w:tc>
          <w:tcPr>
            <w:tcW w:w="8893" w:type="dxa"/>
            <w:gridSpan w:val="2"/>
          </w:tcPr>
          <w:p w14:paraId="79FB56F5" w14:textId="2BEE9A00"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highlight w:val="yellow"/>
              </w:rPr>
              <w:t>Item 9.</w:t>
            </w:r>
            <w:r w:rsidRPr="00F4694F">
              <w:rPr>
                <w:color w:val="auto"/>
                <w:highlight w:val="yellow"/>
              </w:rPr>
              <w:t xml:space="preserve"> Determine whether to update the firm’s disclosures regarding custody</w:t>
            </w:r>
            <w:r w:rsidRPr="00F4694F">
              <w:rPr>
                <w:color w:val="auto"/>
              </w:rPr>
              <w:t xml:space="preserve">. </w:t>
            </w:r>
          </w:p>
        </w:tc>
      </w:tr>
      <w:tr w:rsidR="008E5B80" w14:paraId="5D061F9D" w14:textId="77777777" w:rsidTr="00367CF5">
        <w:trPr>
          <w:gridAfter w:val="2"/>
          <w:wAfter w:w="647" w:type="dxa"/>
        </w:trPr>
        <w:tc>
          <w:tcPr>
            <w:tcW w:w="8893" w:type="dxa"/>
            <w:gridSpan w:val="2"/>
          </w:tcPr>
          <w:p w14:paraId="64EFC284" w14:textId="30F3600C"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highlight w:val="yellow"/>
              </w:rPr>
              <w:t>Item 11.</w:t>
            </w:r>
            <w:r w:rsidRPr="00F4694F">
              <w:rPr>
                <w:color w:val="auto"/>
                <w:highlight w:val="yellow"/>
              </w:rPr>
              <w:t xml:space="preserve"> Determine whether any disclosure information in Item 11 (and accompanying DRPs) should be updated based on the new IAR’s disciplinary history.</w:t>
            </w:r>
            <w:r w:rsidRPr="00F4694F">
              <w:rPr>
                <w:color w:val="auto"/>
              </w:rPr>
              <w:t xml:space="preserve"> </w:t>
            </w:r>
          </w:p>
        </w:tc>
      </w:tr>
      <w:tr w:rsidR="008E5B80" w14:paraId="3C5B595A" w14:textId="77777777" w:rsidTr="00367CF5">
        <w:trPr>
          <w:gridAfter w:val="2"/>
          <w:wAfter w:w="647" w:type="dxa"/>
        </w:trPr>
        <w:tc>
          <w:tcPr>
            <w:tcW w:w="8893" w:type="dxa"/>
            <w:gridSpan w:val="2"/>
          </w:tcPr>
          <w:p w14:paraId="719A0269" w14:textId="1FF4CCC2" w:rsidR="008E5B80" w:rsidRPr="00F4694F" w:rsidRDefault="008E5B80" w:rsidP="00367CF5">
            <w:pPr>
              <w:ind w:left="1240" w:hanging="720"/>
              <w:rPr>
                <w:color w:val="auto"/>
              </w:rPr>
            </w:pPr>
            <w:r>
              <w:rPr>
                <w:b/>
                <w:bCs/>
                <w:color w:val="auto"/>
              </w:rPr>
              <w:t xml:space="preserve">____ </w:t>
            </w:r>
            <w:r>
              <w:rPr>
                <w:b/>
                <w:bCs/>
                <w:color w:val="auto"/>
              </w:rPr>
              <w:tab/>
            </w:r>
            <w:r w:rsidRPr="00367CF5">
              <w:rPr>
                <w:b/>
                <w:bCs/>
                <w:color w:val="auto"/>
              </w:rPr>
              <w:t>Schedule A</w:t>
            </w:r>
            <w:r>
              <w:rPr>
                <w:b/>
                <w:bCs/>
                <w:color w:val="auto"/>
              </w:rPr>
              <w:t>.</w:t>
            </w:r>
            <w:r w:rsidRPr="00F4694F">
              <w:rPr>
                <w:color w:val="auto"/>
              </w:rPr>
              <w:t xml:space="preserve"> Consider whether the new IAR will be an owner or executive officer. If yes, then make changes to Schedule A using Schedule C. </w:t>
            </w:r>
          </w:p>
        </w:tc>
      </w:tr>
      <w:tr w:rsidR="00754DE2" w14:paraId="6D6FBA96" w14:textId="77777777" w:rsidTr="00367CF5">
        <w:tc>
          <w:tcPr>
            <w:tcW w:w="9540" w:type="dxa"/>
            <w:gridSpan w:val="4"/>
          </w:tcPr>
          <w:p w14:paraId="4736C251" w14:textId="376B45C3" w:rsidR="00754DE2" w:rsidRDefault="00754DE2" w:rsidP="00367CF5">
            <w:pPr>
              <w:pStyle w:val="Heading1"/>
              <w:numPr>
                <w:ilvl w:val="0"/>
                <w:numId w:val="51"/>
              </w:numPr>
            </w:pPr>
            <w:r w:rsidRPr="00F4694F">
              <w:t>Form ADV Part 2A</w:t>
            </w:r>
            <w:r w:rsidR="005D252B">
              <w:t>, the “Brochure”</w:t>
            </w:r>
            <w:r w:rsidRPr="00F4694F">
              <w:t xml:space="preserve"> </w:t>
            </w:r>
          </w:p>
          <w:p w14:paraId="6589AAF1" w14:textId="5B86389D" w:rsidR="00754DE2" w:rsidRPr="00F4694F" w:rsidRDefault="00754DE2" w:rsidP="00367CF5">
            <w:pPr>
              <w:ind w:left="340"/>
              <w:rPr>
                <w:color w:val="auto"/>
              </w:rPr>
            </w:pPr>
            <w:r w:rsidRPr="00F4694F">
              <w:rPr>
                <w:color w:val="auto"/>
              </w:rPr>
              <w:t xml:space="preserve">Review to determine whether any changes are required. Updates are required if the firm begins offering additional advisory services, changes its fee schedule, or provides new investment strategies. The firm should consider whether the new hire has any disciplinary issues that need to be disclosed. </w:t>
            </w:r>
          </w:p>
        </w:tc>
      </w:tr>
      <w:tr w:rsidR="00045013" w:rsidRPr="005E1C06" w14:paraId="623CA6A6" w14:textId="77777777" w:rsidTr="00367CF5">
        <w:tc>
          <w:tcPr>
            <w:tcW w:w="9540" w:type="dxa"/>
            <w:gridSpan w:val="4"/>
          </w:tcPr>
          <w:p w14:paraId="198A1B0E" w14:textId="5EA50193" w:rsidR="00045013" w:rsidRPr="00367CF5" w:rsidRDefault="00045013" w:rsidP="00367CF5">
            <w:pPr>
              <w:pStyle w:val="Heading1"/>
            </w:pPr>
            <w:r w:rsidRPr="005E1C06">
              <w:t>3.</w:t>
            </w:r>
            <w:r>
              <w:t xml:space="preserve"> </w:t>
            </w:r>
            <w:r w:rsidRPr="00367CF5">
              <w:t xml:space="preserve">Form ADV Part 2B, the “Brochure Supplement” </w:t>
            </w:r>
          </w:p>
        </w:tc>
      </w:tr>
      <w:tr w:rsidR="00101384" w14:paraId="6CD08B13" w14:textId="77777777" w:rsidTr="00367CF5">
        <w:trPr>
          <w:gridBefore w:val="1"/>
          <w:gridAfter w:val="1"/>
          <w:wBefore w:w="450" w:type="dxa"/>
          <w:wAfter w:w="37" w:type="dxa"/>
        </w:trPr>
        <w:tc>
          <w:tcPr>
            <w:tcW w:w="9053" w:type="dxa"/>
            <w:gridSpan w:val="2"/>
          </w:tcPr>
          <w:p w14:paraId="66DAA3F3" w14:textId="3AA01347" w:rsidR="00101384" w:rsidRPr="009E3BA9" w:rsidRDefault="00101384" w:rsidP="00367CF5">
            <w:pPr>
              <w:ind w:left="720" w:hanging="720"/>
              <w:rPr>
                <w:color w:val="auto"/>
              </w:rPr>
            </w:pPr>
            <w:r>
              <w:rPr>
                <w:b/>
                <w:bCs/>
                <w:color w:val="auto"/>
              </w:rPr>
              <w:t xml:space="preserve">____ </w:t>
            </w:r>
            <w:r>
              <w:rPr>
                <w:b/>
                <w:bCs/>
                <w:color w:val="auto"/>
              </w:rPr>
              <w:tab/>
            </w:r>
            <w:r w:rsidRPr="00367CF5">
              <w:rPr>
                <w:b/>
                <w:bCs/>
                <w:color w:val="auto"/>
              </w:rPr>
              <w:t>Draft a new Part 2B</w:t>
            </w:r>
            <w:r w:rsidRPr="009E3BA9">
              <w:rPr>
                <w:color w:val="auto"/>
              </w:rPr>
              <w:t xml:space="preserve"> for IAR to be delivered to clients and maintained in the firm’s </w:t>
            </w:r>
            <w:r w:rsidR="00A64454">
              <w:rPr>
                <w:color w:val="auto"/>
              </w:rPr>
              <w:t>official</w:t>
            </w:r>
            <w:r w:rsidRPr="009E3BA9">
              <w:rPr>
                <w:color w:val="auto"/>
              </w:rPr>
              <w:t xml:space="preserve"> books and records.</w:t>
            </w:r>
          </w:p>
        </w:tc>
      </w:tr>
      <w:tr w:rsidR="00101384" w14:paraId="24C01649" w14:textId="77777777" w:rsidTr="00367CF5">
        <w:trPr>
          <w:gridBefore w:val="1"/>
          <w:gridAfter w:val="1"/>
          <w:wBefore w:w="450" w:type="dxa"/>
          <w:wAfter w:w="37" w:type="dxa"/>
        </w:trPr>
        <w:tc>
          <w:tcPr>
            <w:tcW w:w="9053" w:type="dxa"/>
            <w:gridSpan w:val="2"/>
          </w:tcPr>
          <w:p w14:paraId="7DB50650" w14:textId="38FE93D6" w:rsidR="00101384" w:rsidRPr="009E3BA9" w:rsidRDefault="00101384" w:rsidP="00367CF5">
            <w:pPr>
              <w:ind w:left="720" w:hanging="720"/>
              <w:rPr>
                <w:color w:val="auto"/>
              </w:rPr>
            </w:pPr>
            <w:r>
              <w:rPr>
                <w:b/>
                <w:bCs/>
                <w:color w:val="auto"/>
              </w:rPr>
              <w:t xml:space="preserve">____ </w:t>
            </w:r>
            <w:r>
              <w:rPr>
                <w:b/>
                <w:bCs/>
                <w:color w:val="auto"/>
              </w:rPr>
              <w:tab/>
            </w:r>
            <w:r w:rsidRPr="00367CF5">
              <w:rPr>
                <w:b/>
                <w:bCs/>
                <w:color w:val="auto"/>
              </w:rPr>
              <w:t>Cover page:</w:t>
            </w:r>
            <w:r w:rsidRPr="009E3BA9">
              <w:rPr>
                <w:color w:val="auto"/>
              </w:rPr>
              <w:t xml:space="preserve"> IAR’s name, business address and phone number. </w:t>
            </w:r>
          </w:p>
        </w:tc>
      </w:tr>
      <w:tr w:rsidR="00101384" w14:paraId="731CE7FD" w14:textId="77777777" w:rsidTr="00367CF5">
        <w:trPr>
          <w:gridBefore w:val="1"/>
          <w:gridAfter w:val="1"/>
          <w:wBefore w:w="450" w:type="dxa"/>
          <w:wAfter w:w="37" w:type="dxa"/>
        </w:trPr>
        <w:tc>
          <w:tcPr>
            <w:tcW w:w="9053" w:type="dxa"/>
            <w:gridSpan w:val="2"/>
          </w:tcPr>
          <w:p w14:paraId="4F8D19A0" w14:textId="30F6632F" w:rsidR="00101384" w:rsidRPr="00367CF5" w:rsidRDefault="00101384" w:rsidP="00367CF5">
            <w:pPr>
              <w:ind w:left="720" w:hanging="720"/>
              <w:rPr>
                <w:b/>
                <w:bCs/>
                <w:color w:val="auto"/>
              </w:rPr>
            </w:pPr>
            <w:r>
              <w:rPr>
                <w:b/>
                <w:bCs/>
                <w:color w:val="auto"/>
              </w:rPr>
              <w:t xml:space="preserve">____ </w:t>
            </w:r>
            <w:r>
              <w:rPr>
                <w:b/>
                <w:bCs/>
                <w:color w:val="auto"/>
              </w:rPr>
              <w:tab/>
            </w:r>
            <w:r w:rsidRPr="00367CF5">
              <w:rPr>
                <w:b/>
                <w:bCs/>
                <w:color w:val="auto"/>
              </w:rPr>
              <w:t>Firm name, business address</w:t>
            </w:r>
            <w:r>
              <w:rPr>
                <w:b/>
                <w:bCs/>
                <w:color w:val="auto"/>
              </w:rPr>
              <w:t>,</w:t>
            </w:r>
            <w:r w:rsidRPr="00367CF5">
              <w:rPr>
                <w:b/>
                <w:bCs/>
                <w:color w:val="auto"/>
              </w:rPr>
              <w:t xml:space="preserve"> and phone number.</w:t>
            </w:r>
          </w:p>
        </w:tc>
      </w:tr>
      <w:tr w:rsidR="00101384" w14:paraId="203F0269" w14:textId="77777777" w:rsidTr="00367CF5">
        <w:trPr>
          <w:gridBefore w:val="1"/>
          <w:gridAfter w:val="1"/>
          <w:wBefore w:w="450" w:type="dxa"/>
          <w:wAfter w:w="37" w:type="dxa"/>
        </w:trPr>
        <w:tc>
          <w:tcPr>
            <w:tcW w:w="9053" w:type="dxa"/>
            <w:gridSpan w:val="2"/>
          </w:tcPr>
          <w:p w14:paraId="405F39F3" w14:textId="56239E98" w:rsidR="00101384" w:rsidRPr="00367CF5" w:rsidRDefault="00101384" w:rsidP="00367CF5">
            <w:pPr>
              <w:ind w:left="720" w:hanging="720"/>
              <w:rPr>
                <w:b/>
                <w:bCs/>
                <w:color w:val="auto"/>
              </w:rPr>
            </w:pPr>
            <w:r>
              <w:rPr>
                <w:b/>
                <w:bCs/>
                <w:color w:val="auto"/>
              </w:rPr>
              <w:t xml:space="preserve">____ </w:t>
            </w:r>
            <w:r>
              <w:rPr>
                <w:b/>
                <w:bCs/>
                <w:color w:val="auto"/>
              </w:rPr>
              <w:tab/>
            </w:r>
            <w:r w:rsidRPr="00367CF5">
              <w:rPr>
                <w:b/>
                <w:bCs/>
                <w:color w:val="auto"/>
              </w:rPr>
              <w:t>Date of brochure.</w:t>
            </w:r>
          </w:p>
        </w:tc>
      </w:tr>
      <w:tr w:rsidR="00101384" w14:paraId="6503B4D7" w14:textId="77777777" w:rsidTr="00367CF5">
        <w:trPr>
          <w:gridBefore w:val="1"/>
          <w:gridAfter w:val="1"/>
          <w:wBefore w:w="450" w:type="dxa"/>
          <w:wAfter w:w="37" w:type="dxa"/>
        </w:trPr>
        <w:tc>
          <w:tcPr>
            <w:tcW w:w="9053" w:type="dxa"/>
            <w:gridSpan w:val="2"/>
          </w:tcPr>
          <w:p w14:paraId="3DDFE301" w14:textId="77777777" w:rsidR="00101384" w:rsidRDefault="00101384" w:rsidP="00367CF5">
            <w:pPr>
              <w:pStyle w:val="NormalWeb"/>
              <w:shd w:val="clear" w:color="auto" w:fill="FFFFFF"/>
              <w:spacing w:before="0" w:beforeAutospacing="0" w:after="0" w:afterAutospacing="0"/>
              <w:ind w:left="720" w:hanging="720"/>
              <w:jc w:val="both"/>
              <w:textAlignment w:val="baseline"/>
              <w:rPr>
                <w:rFonts w:asciiTheme="minorHAnsi" w:hAnsiTheme="minorHAnsi" w:cstheme="minorHAnsi"/>
                <w:b/>
                <w:bCs/>
              </w:rPr>
            </w:pPr>
          </w:p>
          <w:p w14:paraId="5944F6A9" w14:textId="21864B48" w:rsidR="00101384" w:rsidRPr="00C85D86" w:rsidRDefault="00101384" w:rsidP="005116BB">
            <w:pPr>
              <w:pStyle w:val="NormalWeb"/>
              <w:shd w:val="clear" w:color="auto" w:fill="FFFFFF"/>
              <w:spacing w:before="0" w:beforeAutospacing="0" w:after="0" w:afterAutospacing="0"/>
              <w:ind w:left="720" w:hanging="720"/>
              <w:textAlignment w:val="baseline"/>
              <w:rPr>
                <w:rFonts w:asciiTheme="minorHAnsi" w:hAnsiTheme="minorHAnsi" w:cstheme="minorHAnsi"/>
              </w:rPr>
            </w:pPr>
            <w:r>
              <w:rPr>
                <w:b/>
                <w:bCs/>
              </w:rPr>
              <w:t xml:space="preserve">____ </w:t>
            </w:r>
            <w:r>
              <w:rPr>
                <w:b/>
                <w:bCs/>
              </w:rPr>
              <w:tab/>
            </w:r>
            <w:r w:rsidRPr="00367CF5">
              <w:rPr>
                <w:rFonts w:asciiTheme="minorHAnsi" w:hAnsiTheme="minorHAnsi" w:cstheme="minorHAnsi"/>
                <w:b/>
                <w:bCs/>
              </w:rPr>
              <w:t>Include disclosure:</w:t>
            </w:r>
            <w:r w:rsidRPr="00C85D86">
              <w:rPr>
                <w:rStyle w:val="HeaderChar"/>
                <w:rFonts w:asciiTheme="minorHAnsi" w:hAnsiTheme="minorHAnsi"/>
                <w:color w:val="auto"/>
                <w:bdr w:val="none" w:sz="0" w:space="0" w:color="auto" w:frame="1"/>
              </w:rPr>
              <w:t xml:space="preserve"> </w:t>
            </w:r>
            <w:r w:rsidRPr="00C85D86">
              <w:rPr>
                <w:rFonts w:asciiTheme="minorHAnsi" w:hAnsiTheme="minorHAnsi" w:cstheme="minorHAnsi"/>
                <w:i/>
                <w:iCs/>
                <w:bdr w:val="none" w:sz="0" w:space="0" w:color="auto" w:frame="1"/>
              </w:rPr>
              <w:t>This brochure supplement provides information about [name of supervised person] that supplements the (name of advisory firm) brochure. You should have received a copy of that brochure. Please contact [service center or name and/or title of your contact person) if you did not receive [name of advisory firm)’s brochure or if you have any questions about the contents of this supplement.</w:t>
            </w:r>
          </w:p>
          <w:p w14:paraId="7E849345" w14:textId="77777777" w:rsidR="00101384" w:rsidRPr="00C85D86" w:rsidRDefault="00101384" w:rsidP="00367CF5">
            <w:pPr>
              <w:shd w:val="clear" w:color="auto" w:fill="FFFFFF"/>
              <w:spacing w:before="0"/>
              <w:ind w:left="720" w:hanging="720"/>
              <w:jc w:val="both"/>
              <w:textAlignment w:val="baseline"/>
              <w:rPr>
                <w:rFonts w:eastAsia="Times New Roman" w:cstheme="minorHAnsi"/>
                <w:i/>
                <w:iCs/>
                <w:color w:val="auto"/>
                <w:szCs w:val="24"/>
                <w:bdr w:val="none" w:sz="0" w:space="0" w:color="auto" w:frame="1"/>
              </w:rPr>
            </w:pPr>
          </w:p>
          <w:p w14:paraId="727747A0" w14:textId="42685D61" w:rsidR="00101384" w:rsidRPr="00C85D86" w:rsidRDefault="008E5B80" w:rsidP="005B59C2">
            <w:pPr>
              <w:shd w:val="clear" w:color="auto" w:fill="FFFFFF"/>
              <w:spacing w:before="0"/>
              <w:ind w:left="720" w:hanging="720"/>
              <w:textAlignment w:val="baseline"/>
              <w:rPr>
                <w:color w:val="auto"/>
              </w:rPr>
            </w:pPr>
            <w:r>
              <w:rPr>
                <w:rFonts w:eastAsia="Times New Roman" w:cstheme="minorHAnsi"/>
                <w:i/>
                <w:iCs/>
                <w:color w:val="auto"/>
                <w:szCs w:val="24"/>
                <w:bdr w:val="none" w:sz="0" w:space="0" w:color="auto" w:frame="1"/>
              </w:rPr>
              <w:tab/>
            </w:r>
            <w:r w:rsidR="00101384" w:rsidRPr="00C85D86">
              <w:rPr>
                <w:rFonts w:eastAsia="Times New Roman" w:cstheme="minorHAnsi"/>
                <w:i/>
                <w:iCs/>
                <w:color w:val="auto"/>
                <w:szCs w:val="24"/>
                <w:bdr w:val="none" w:sz="0" w:space="0" w:color="auto" w:frame="1"/>
              </w:rPr>
              <w:t>Additional information about [name of supervised person) is available on the SEC’s website at www.adviserinfo.sec.gov.</w:t>
            </w:r>
          </w:p>
        </w:tc>
      </w:tr>
      <w:tr w:rsidR="00101384" w14:paraId="64C06E5E" w14:textId="77777777" w:rsidTr="00367CF5">
        <w:trPr>
          <w:gridBefore w:val="1"/>
          <w:gridAfter w:val="1"/>
          <w:wBefore w:w="450" w:type="dxa"/>
          <w:wAfter w:w="37" w:type="dxa"/>
        </w:trPr>
        <w:tc>
          <w:tcPr>
            <w:tcW w:w="9053" w:type="dxa"/>
            <w:gridSpan w:val="2"/>
          </w:tcPr>
          <w:p w14:paraId="456BC2A4" w14:textId="27C90657" w:rsidR="00101384" w:rsidRDefault="00101384" w:rsidP="00367CF5">
            <w:pPr>
              <w:ind w:left="720" w:hanging="720"/>
              <w:rPr>
                <w:color w:val="auto"/>
              </w:rPr>
            </w:pPr>
            <w:r>
              <w:rPr>
                <w:b/>
                <w:bCs/>
                <w:color w:val="auto"/>
              </w:rPr>
              <w:lastRenderedPageBreak/>
              <w:t xml:space="preserve">____ </w:t>
            </w:r>
            <w:r>
              <w:rPr>
                <w:b/>
                <w:bCs/>
                <w:color w:val="auto"/>
              </w:rPr>
              <w:tab/>
            </w:r>
            <w:r w:rsidRPr="00367CF5">
              <w:rPr>
                <w:b/>
                <w:bCs/>
                <w:color w:val="auto"/>
              </w:rPr>
              <w:t>Education and Business Experience.</w:t>
            </w:r>
            <w:r w:rsidRPr="005F70EC">
              <w:rPr>
                <w:color w:val="auto"/>
              </w:rPr>
              <w:t xml:space="preserve"> Form ADV Part 2B must disclose the educational background and business experience of IAR, including whether the supervised person has no high school education, no formal education after high school, or no business background. </w:t>
            </w:r>
          </w:p>
          <w:p w14:paraId="10BAAE61" w14:textId="4EE860CF" w:rsidR="00101384" w:rsidRDefault="008E5B80" w:rsidP="00367CF5">
            <w:pPr>
              <w:ind w:left="720" w:hanging="720"/>
            </w:pPr>
            <w:r>
              <w:rPr>
                <w:color w:val="auto"/>
              </w:rPr>
              <w:tab/>
            </w:r>
            <w:r w:rsidR="00101384" w:rsidRPr="009E3BA9">
              <w:rPr>
                <w:color w:val="auto"/>
              </w:rPr>
              <w:t xml:space="preserve">Disclosures about professional designations may be included, </w:t>
            </w:r>
            <w:proofErr w:type="gramStart"/>
            <w:r w:rsidR="00101384" w:rsidRPr="009E3BA9">
              <w:rPr>
                <w:color w:val="auto"/>
              </w:rPr>
              <w:t>provided that</w:t>
            </w:r>
            <w:proofErr w:type="gramEnd"/>
            <w:r w:rsidR="00101384" w:rsidRPr="009E3BA9">
              <w:rPr>
                <w:color w:val="auto"/>
              </w:rPr>
              <w:t xml:space="preserve"> they are accompanied by a sufficient explanation of the minimum qualifications required for the designation. </w:t>
            </w:r>
          </w:p>
        </w:tc>
      </w:tr>
      <w:tr w:rsidR="00101384" w14:paraId="2A12E1F4" w14:textId="77777777" w:rsidTr="00367CF5">
        <w:trPr>
          <w:gridBefore w:val="1"/>
          <w:gridAfter w:val="1"/>
          <w:wBefore w:w="450" w:type="dxa"/>
          <w:wAfter w:w="37" w:type="dxa"/>
        </w:trPr>
        <w:tc>
          <w:tcPr>
            <w:tcW w:w="9053" w:type="dxa"/>
            <w:gridSpan w:val="2"/>
          </w:tcPr>
          <w:p w14:paraId="6A326328" w14:textId="28822CAC" w:rsidR="00101384" w:rsidRDefault="00101384" w:rsidP="00367CF5">
            <w:pPr>
              <w:ind w:left="720" w:hanging="720"/>
            </w:pPr>
            <w:r>
              <w:rPr>
                <w:b/>
                <w:bCs/>
                <w:color w:val="auto"/>
              </w:rPr>
              <w:t xml:space="preserve">____ </w:t>
            </w:r>
            <w:r>
              <w:rPr>
                <w:b/>
                <w:bCs/>
                <w:color w:val="auto"/>
              </w:rPr>
              <w:tab/>
            </w:r>
            <w:r w:rsidRPr="009E3BA9">
              <w:rPr>
                <w:b/>
                <w:bCs/>
                <w:color w:val="auto"/>
              </w:rPr>
              <w:t>Disciplinary Information</w:t>
            </w:r>
            <w:r w:rsidRPr="009E3BA9">
              <w:rPr>
                <w:color w:val="auto"/>
              </w:rPr>
              <w:t>: Include disclosure about material events within the past 10 years</w:t>
            </w:r>
            <w:r>
              <w:t xml:space="preserve">. </w:t>
            </w:r>
          </w:p>
        </w:tc>
      </w:tr>
      <w:tr w:rsidR="00101384" w14:paraId="1B92466C" w14:textId="77777777" w:rsidTr="00367CF5">
        <w:trPr>
          <w:gridBefore w:val="1"/>
          <w:gridAfter w:val="1"/>
          <w:wBefore w:w="450" w:type="dxa"/>
          <w:wAfter w:w="37" w:type="dxa"/>
        </w:trPr>
        <w:tc>
          <w:tcPr>
            <w:tcW w:w="9053" w:type="dxa"/>
            <w:gridSpan w:val="2"/>
          </w:tcPr>
          <w:p w14:paraId="497EABD1" w14:textId="14896E95" w:rsidR="00101384" w:rsidRPr="009E3BA9" w:rsidRDefault="00101384" w:rsidP="00367CF5">
            <w:pPr>
              <w:ind w:left="720" w:hanging="720"/>
              <w:rPr>
                <w:color w:val="auto"/>
              </w:rPr>
            </w:pPr>
            <w:r>
              <w:rPr>
                <w:b/>
                <w:bCs/>
                <w:color w:val="auto"/>
              </w:rPr>
              <w:t xml:space="preserve">____ </w:t>
            </w:r>
            <w:r>
              <w:rPr>
                <w:b/>
                <w:bCs/>
                <w:color w:val="auto"/>
              </w:rPr>
              <w:tab/>
              <w:t xml:space="preserve">Other Business Activities. </w:t>
            </w:r>
            <w:r>
              <w:rPr>
                <w:color w:val="auto"/>
              </w:rPr>
              <w:t xml:space="preserve">Include disclosure about the supervised person’s other business activities, </w:t>
            </w:r>
            <w:r w:rsidRPr="009E3BA9">
              <w:rPr>
                <w:color w:val="auto"/>
              </w:rPr>
              <w:t xml:space="preserve">including </w:t>
            </w:r>
            <w:r>
              <w:rPr>
                <w:color w:val="auto"/>
              </w:rPr>
              <w:t>whether</w:t>
            </w:r>
            <w:r w:rsidRPr="009E3BA9">
              <w:rPr>
                <w:color w:val="auto"/>
              </w:rPr>
              <w:t xml:space="preserve"> the supervised person receives commissions, bonuses, or other compensation based on the sale of securities or other investment products, including as a broker-dealer or registered representative, and including distribution or service fees from the sale of mutual funds.</w:t>
            </w:r>
          </w:p>
        </w:tc>
      </w:tr>
      <w:tr w:rsidR="00101384" w14:paraId="06759DF3" w14:textId="77777777" w:rsidTr="00367CF5">
        <w:trPr>
          <w:gridBefore w:val="1"/>
          <w:gridAfter w:val="1"/>
          <w:wBefore w:w="450" w:type="dxa"/>
          <w:wAfter w:w="37" w:type="dxa"/>
        </w:trPr>
        <w:tc>
          <w:tcPr>
            <w:tcW w:w="9053" w:type="dxa"/>
            <w:gridSpan w:val="2"/>
          </w:tcPr>
          <w:p w14:paraId="5EFC0C6D" w14:textId="337F8192" w:rsidR="00101384" w:rsidRPr="009E3BA9" w:rsidRDefault="00101384" w:rsidP="00367CF5">
            <w:pPr>
              <w:ind w:left="720" w:hanging="720"/>
              <w:rPr>
                <w:color w:val="auto"/>
              </w:rPr>
            </w:pPr>
            <w:r>
              <w:rPr>
                <w:b/>
                <w:bCs/>
                <w:color w:val="auto"/>
              </w:rPr>
              <w:t xml:space="preserve">____ </w:t>
            </w:r>
            <w:r>
              <w:rPr>
                <w:b/>
                <w:bCs/>
                <w:color w:val="auto"/>
              </w:rPr>
              <w:tab/>
              <w:t xml:space="preserve">Additional Compensation. </w:t>
            </w:r>
            <w:r>
              <w:rPr>
                <w:color w:val="auto"/>
              </w:rPr>
              <w:t xml:space="preserve">Disclose any additional compensation earned by the supervised person paid by someone who is not a client for providing advisory services. This includes sales awards and other prizes, and any bonus that is not based, at least in part, on the number or </w:t>
            </w:r>
            <w:proofErr w:type="gramStart"/>
            <w:r>
              <w:rPr>
                <w:color w:val="auto"/>
              </w:rPr>
              <w:t>amount</w:t>
            </w:r>
            <w:proofErr w:type="gramEnd"/>
            <w:r>
              <w:rPr>
                <w:color w:val="auto"/>
              </w:rPr>
              <w:t xml:space="preserve"> of sales, client referrals</w:t>
            </w:r>
            <w:r w:rsidR="00367CF5">
              <w:rPr>
                <w:color w:val="auto"/>
              </w:rPr>
              <w:t>,</w:t>
            </w:r>
            <w:r>
              <w:rPr>
                <w:color w:val="auto"/>
              </w:rPr>
              <w:t xml:space="preserve"> or new accounts. Regular bonuses and salary do not count. </w:t>
            </w:r>
          </w:p>
        </w:tc>
      </w:tr>
      <w:tr w:rsidR="00101384" w14:paraId="4B22DD3B" w14:textId="77777777" w:rsidTr="00367CF5">
        <w:trPr>
          <w:gridBefore w:val="1"/>
          <w:gridAfter w:val="1"/>
          <w:wBefore w:w="450" w:type="dxa"/>
          <w:wAfter w:w="37" w:type="dxa"/>
        </w:trPr>
        <w:tc>
          <w:tcPr>
            <w:tcW w:w="9053" w:type="dxa"/>
            <w:gridSpan w:val="2"/>
          </w:tcPr>
          <w:p w14:paraId="05EC0906" w14:textId="7595D7C0" w:rsidR="00101384" w:rsidRPr="009E3BA9" w:rsidRDefault="00101384" w:rsidP="00367CF5">
            <w:pPr>
              <w:ind w:left="720" w:hanging="720"/>
              <w:rPr>
                <w:color w:val="auto"/>
              </w:rPr>
            </w:pPr>
            <w:r>
              <w:rPr>
                <w:b/>
                <w:bCs/>
                <w:color w:val="auto"/>
              </w:rPr>
              <w:t xml:space="preserve">____ </w:t>
            </w:r>
            <w:r>
              <w:rPr>
                <w:b/>
                <w:bCs/>
                <w:color w:val="auto"/>
              </w:rPr>
              <w:tab/>
              <w:t>Supervision</w:t>
            </w:r>
            <w:r>
              <w:rPr>
                <w:color w:val="auto"/>
              </w:rPr>
              <w:t>. Provide the name, title, and phone number of the individual responsible for supervising the supervised person's activities on behalf of the firm. Include an explanation of how the IAR is supervised.</w:t>
            </w:r>
          </w:p>
        </w:tc>
      </w:tr>
      <w:tr w:rsidR="00101384" w14:paraId="0E35D67F" w14:textId="77777777" w:rsidTr="00367CF5">
        <w:trPr>
          <w:gridBefore w:val="1"/>
          <w:gridAfter w:val="1"/>
          <w:wBefore w:w="450" w:type="dxa"/>
          <w:wAfter w:w="37" w:type="dxa"/>
        </w:trPr>
        <w:tc>
          <w:tcPr>
            <w:tcW w:w="9053" w:type="dxa"/>
            <w:gridSpan w:val="2"/>
          </w:tcPr>
          <w:p w14:paraId="24CAAC04" w14:textId="54C7D4B2" w:rsidR="00101384" w:rsidRPr="00F4694F" w:rsidRDefault="00101384" w:rsidP="00367CF5">
            <w:pPr>
              <w:ind w:left="720" w:hanging="720"/>
              <w:rPr>
                <w:color w:val="auto"/>
              </w:rPr>
            </w:pPr>
            <w:r>
              <w:rPr>
                <w:b/>
                <w:bCs/>
                <w:color w:val="auto"/>
              </w:rPr>
              <w:t xml:space="preserve">____ </w:t>
            </w:r>
            <w:r>
              <w:rPr>
                <w:b/>
                <w:bCs/>
                <w:color w:val="auto"/>
              </w:rPr>
              <w:tab/>
            </w:r>
            <w:r w:rsidRPr="00F4694F">
              <w:rPr>
                <w:b/>
                <w:bCs/>
                <w:color w:val="auto"/>
              </w:rPr>
              <w:t>Requirements for State-Registered Advisers</w:t>
            </w:r>
            <w:r>
              <w:rPr>
                <w:b/>
                <w:bCs/>
                <w:color w:val="auto"/>
              </w:rPr>
              <w:t xml:space="preserve">. </w:t>
            </w:r>
            <w:r>
              <w:rPr>
                <w:color w:val="auto"/>
              </w:rPr>
              <w:t xml:space="preserve">Disclose whether the IAR </w:t>
            </w:r>
            <w:r w:rsidRPr="00F4694F">
              <w:rPr>
                <w:color w:val="auto"/>
              </w:rPr>
              <w:t xml:space="preserve">has been involved in an arbitration claim or a civil, self-regulatory organization, or administrative proceeding. </w:t>
            </w:r>
            <w:r>
              <w:rPr>
                <w:color w:val="auto"/>
              </w:rPr>
              <w:t xml:space="preserve">Disclose whether the IAR </w:t>
            </w:r>
            <w:r w:rsidRPr="00F4694F">
              <w:rPr>
                <w:color w:val="auto"/>
              </w:rPr>
              <w:t>has been the subject of a bankruptcy petition.</w:t>
            </w:r>
          </w:p>
        </w:tc>
      </w:tr>
      <w:tr w:rsidR="00322833" w14:paraId="78B4678B" w14:textId="77777777" w:rsidTr="00367CF5">
        <w:tc>
          <w:tcPr>
            <w:tcW w:w="9540" w:type="dxa"/>
            <w:gridSpan w:val="4"/>
          </w:tcPr>
          <w:p w14:paraId="647FA502" w14:textId="54B8EC30" w:rsidR="00322833" w:rsidRDefault="00322833" w:rsidP="00367CF5">
            <w:pPr>
              <w:pStyle w:val="Heading1"/>
              <w:ind w:left="-20"/>
            </w:pPr>
            <w:r>
              <w:t xml:space="preserve">4. </w:t>
            </w:r>
            <w:r w:rsidRPr="00F4694F">
              <w:t>Form U4</w:t>
            </w:r>
          </w:p>
          <w:p w14:paraId="4562C1DF" w14:textId="5549CFF8" w:rsidR="00322833" w:rsidRPr="00F4694F" w:rsidRDefault="00322833" w:rsidP="00367CF5">
            <w:pPr>
              <w:ind w:left="340"/>
              <w:rPr>
                <w:color w:val="auto"/>
              </w:rPr>
            </w:pPr>
            <w:r>
              <w:rPr>
                <w:color w:val="auto"/>
              </w:rPr>
              <w:t xml:space="preserve">The Firm must submit Form U4 to </w:t>
            </w:r>
            <w:proofErr w:type="gramStart"/>
            <w:r>
              <w:rPr>
                <w:color w:val="auto"/>
              </w:rPr>
              <w:t>register</w:t>
            </w:r>
            <w:proofErr w:type="gramEnd"/>
            <w:r>
              <w:rPr>
                <w:color w:val="auto"/>
              </w:rPr>
              <w:t xml:space="preserve"> the IAR through the FINRA Gateway. Update disclosures as necessary and compare Form U4 to Form ADV Part 2B to ensure that the disclosures are consistent.</w:t>
            </w:r>
          </w:p>
        </w:tc>
      </w:tr>
      <w:tr w:rsidR="0053526C" w14:paraId="4C491903" w14:textId="77777777" w:rsidTr="00367CF5">
        <w:tc>
          <w:tcPr>
            <w:tcW w:w="9540" w:type="dxa"/>
            <w:gridSpan w:val="4"/>
          </w:tcPr>
          <w:p w14:paraId="52F64A0A" w14:textId="25FF2778" w:rsidR="0053526C" w:rsidRDefault="0053526C" w:rsidP="00367CF5">
            <w:pPr>
              <w:pStyle w:val="Heading1"/>
            </w:pPr>
            <w:r>
              <w:t xml:space="preserve">5. </w:t>
            </w:r>
            <w:r w:rsidRPr="007C7CB2">
              <w:t xml:space="preserve">Form </w:t>
            </w:r>
            <w:r w:rsidR="001965F5">
              <w:t xml:space="preserve">ADV Part 3, </w:t>
            </w:r>
            <w:r w:rsidR="00606DAC">
              <w:t xml:space="preserve">Form </w:t>
            </w:r>
            <w:r w:rsidRPr="007C7CB2">
              <w:t>CRS</w:t>
            </w:r>
          </w:p>
          <w:p w14:paraId="2E1DE78F" w14:textId="5FABD6F1" w:rsidR="0053526C" w:rsidRPr="007C7CB2" w:rsidRDefault="0053526C" w:rsidP="00367CF5">
            <w:pPr>
              <w:ind w:left="340"/>
              <w:rPr>
                <w:u w:val="single"/>
              </w:rPr>
            </w:pPr>
            <w:r>
              <w:rPr>
                <w:color w:val="auto"/>
              </w:rPr>
              <w:t xml:space="preserve">Review Form CRS to determine whether any changes are required </w:t>
            </w:r>
            <w:proofErr w:type="gramStart"/>
            <w:r>
              <w:rPr>
                <w:color w:val="auto"/>
              </w:rPr>
              <w:t>as a result of</w:t>
            </w:r>
            <w:proofErr w:type="gramEnd"/>
            <w:r>
              <w:rPr>
                <w:color w:val="auto"/>
              </w:rPr>
              <w:t xml:space="preserve"> hiring the IAR. Advisers are required to update Form CRS within 30 days if the information included becomes materially inaccurate and provided to existing clients within 60 days after the updates are required.</w:t>
            </w:r>
          </w:p>
        </w:tc>
      </w:tr>
    </w:tbl>
    <w:p w14:paraId="758780A8" w14:textId="27D3D3CE" w:rsidR="00026413" w:rsidRDefault="00026413" w:rsidP="00CD01FD"/>
    <w:sectPr w:rsidR="00026413" w:rsidSect="00367CF5">
      <w:footerReference w:type="default" r:id="rId10"/>
      <w:footerReference w:type="first" r:id="rId11"/>
      <w:pgSz w:w="12240" w:h="15840" w:code="1"/>
      <w:pgMar w:top="1080" w:right="1440" w:bottom="1440" w:left="144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E5AE0" w14:textId="77777777" w:rsidR="00C64FF0" w:rsidRDefault="00C64FF0" w:rsidP="005A20E2">
      <w:r>
        <w:separator/>
      </w:r>
    </w:p>
    <w:p w14:paraId="5500FB0C" w14:textId="77777777" w:rsidR="00C64FF0" w:rsidRDefault="00C64FF0"/>
    <w:p w14:paraId="21ABD3A1" w14:textId="77777777" w:rsidR="00C64FF0" w:rsidRDefault="00C64FF0" w:rsidP="009B4773"/>
    <w:p w14:paraId="57E279EA" w14:textId="77777777" w:rsidR="00C64FF0" w:rsidRDefault="00C64FF0" w:rsidP="00513832"/>
  </w:endnote>
  <w:endnote w:type="continuationSeparator" w:id="0">
    <w:p w14:paraId="14DEA957" w14:textId="77777777" w:rsidR="00C64FF0" w:rsidRDefault="00C64FF0" w:rsidP="005A20E2">
      <w:r>
        <w:continuationSeparator/>
      </w:r>
    </w:p>
    <w:p w14:paraId="3D133796" w14:textId="77777777" w:rsidR="00C64FF0" w:rsidRDefault="00C64FF0"/>
    <w:p w14:paraId="25484C30" w14:textId="77777777" w:rsidR="00C64FF0" w:rsidRDefault="00C64FF0" w:rsidP="009B4773"/>
    <w:p w14:paraId="619F86FB" w14:textId="77777777" w:rsidR="00C64FF0" w:rsidRDefault="00C64FF0" w:rsidP="00513832"/>
  </w:endnote>
  <w:endnote w:type="continuationNotice" w:id="1">
    <w:p w14:paraId="631B07BE" w14:textId="77777777" w:rsidR="00C64FF0" w:rsidRDefault="00C64F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2E3B" w14:textId="513D44B5" w:rsidR="00B57756" w:rsidRPr="00F8411A" w:rsidRDefault="00B57756" w:rsidP="00F8411A">
    <w:pPr>
      <w:pStyle w:val="Footer"/>
    </w:pPr>
    <w:r w:rsidRPr="00F8411A">
      <w:tab/>
    </w:r>
    <w:r w:rsidRPr="00F8411A">
      <w:fldChar w:fldCharType="begin"/>
    </w:r>
    <w:r w:rsidRPr="00F8411A">
      <w:instrText xml:space="preserve"> PAGE   \* MERGEFORMAT </w:instrText>
    </w:r>
    <w:r w:rsidRPr="00F8411A">
      <w:fldChar w:fldCharType="separate"/>
    </w:r>
    <w:r w:rsidR="00955F80">
      <w:rPr>
        <w:noProof/>
      </w:rPr>
      <w:t>5</w:t>
    </w:r>
    <w:r w:rsidRPr="00F841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3A31" w14:textId="022965FA" w:rsidR="005854DB" w:rsidRPr="00F8411A" w:rsidRDefault="005854DB" w:rsidP="005854DB">
    <w:pPr>
      <w:pStyle w:val="Footer"/>
    </w:pPr>
    <w:r w:rsidRPr="00F8411A">
      <w:tab/>
    </w:r>
    <w:r w:rsidRPr="00F8411A">
      <w:fldChar w:fldCharType="begin"/>
    </w:r>
    <w:r w:rsidRPr="00F8411A">
      <w:instrText xml:space="preserve"> PAGE   \* MERGEFORMAT </w:instrText>
    </w:r>
    <w:r w:rsidRPr="00F8411A">
      <w:fldChar w:fldCharType="separate"/>
    </w:r>
    <w:r w:rsidR="004E210B">
      <w:rPr>
        <w:noProof/>
      </w:rPr>
      <w:t>1</w:t>
    </w:r>
    <w:r w:rsidRPr="00F841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51BF0" w14:textId="77777777" w:rsidR="00C64FF0" w:rsidRDefault="00C64FF0" w:rsidP="005A20E2">
      <w:r>
        <w:separator/>
      </w:r>
    </w:p>
    <w:p w14:paraId="0A6DAB0B" w14:textId="77777777" w:rsidR="00C64FF0" w:rsidRDefault="00C64FF0"/>
    <w:p w14:paraId="2C478B35" w14:textId="77777777" w:rsidR="00C64FF0" w:rsidRDefault="00C64FF0" w:rsidP="009B4773"/>
    <w:p w14:paraId="4FB42B4C" w14:textId="77777777" w:rsidR="00C64FF0" w:rsidRDefault="00C64FF0" w:rsidP="00513832"/>
  </w:footnote>
  <w:footnote w:type="continuationSeparator" w:id="0">
    <w:p w14:paraId="39F270A8" w14:textId="77777777" w:rsidR="00C64FF0" w:rsidRDefault="00C64FF0" w:rsidP="005A20E2">
      <w:r>
        <w:continuationSeparator/>
      </w:r>
    </w:p>
    <w:p w14:paraId="24D8AABC" w14:textId="77777777" w:rsidR="00C64FF0" w:rsidRDefault="00C64FF0"/>
    <w:p w14:paraId="271AAFA3" w14:textId="77777777" w:rsidR="00C64FF0" w:rsidRDefault="00C64FF0" w:rsidP="009B4773"/>
    <w:p w14:paraId="45D0C2AD" w14:textId="77777777" w:rsidR="00C64FF0" w:rsidRDefault="00C64FF0" w:rsidP="00513832"/>
  </w:footnote>
  <w:footnote w:type="continuationNotice" w:id="1">
    <w:p w14:paraId="686D09FA" w14:textId="77777777" w:rsidR="00C64FF0" w:rsidRDefault="00C64F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C2855E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EE34F5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2A00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F83DCC"/>
    <w:multiLevelType w:val="multilevel"/>
    <w:tmpl w:val="F69EB686"/>
    <w:styleLink w:val="NumberedList"/>
    <w:lvl w:ilvl="0">
      <w:start w:val="1"/>
      <w:numFmt w:val="none"/>
      <w:pStyle w:val="ListNumber"/>
      <w:lvlText w:val="%1"/>
      <w:lvlJc w:val="left"/>
      <w:pPr>
        <w:ind w:left="0" w:firstLine="0"/>
      </w:pPr>
      <w:rPr>
        <w:rFonts w:asciiTheme="minorHAnsi" w:hAnsiTheme="minorHAnsi" w:hint="default"/>
        <w:b/>
        <w:i w:val="0"/>
        <w:color w:val="107082" w:themeColor="accent2"/>
      </w:rPr>
    </w:lvl>
    <w:lvl w:ilvl="1">
      <w:start w:val="1"/>
      <w:numFmt w:val="none"/>
      <w:pStyle w:val="ListNumber2"/>
      <w:lvlText w:val="%2"/>
      <w:lvlJc w:val="left"/>
      <w:pPr>
        <w:ind w:left="0" w:firstLine="0"/>
      </w:pPr>
      <w:rPr>
        <w:rFonts w:asciiTheme="minorHAnsi" w:hAnsiTheme="minorHAnsi" w:hint="default"/>
        <w:b w:val="0"/>
        <w:i w:val="0"/>
        <w:color w:val="107082" w:themeColor="accent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D07197"/>
    <w:multiLevelType w:val="hybridMultilevel"/>
    <w:tmpl w:val="D7207E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C1828"/>
    <w:multiLevelType w:val="multilevel"/>
    <w:tmpl w:val="3B128C9E"/>
    <w:lvl w:ilvl="0">
      <w:start w:val="1"/>
      <w:numFmt w:val="decimal"/>
      <w:lvlText w:val="%1."/>
      <w:lvlJc w:val="left"/>
      <w:pPr>
        <w:ind w:left="360" w:hanging="360"/>
      </w:pPr>
      <w:rPr>
        <w:rFonts w:hint="default"/>
        <w:b/>
        <w:color w:val="107082" w:themeColor="accent2"/>
        <w:u w:color="F0CDA1" w:themeColor="accent1"/>
      </w:rPr>
    </w:lvl>
    <w:lvl w:ilvl="1">
      <w:start w:val="1"/>
      <w:numFmt w:val="lowerLetter"/>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E4F54"/>
    <w:multiLevelType w:val="hybridMultilevel"/>
    <w:tmpl w:val="CC06B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055C95"/>
    <w:multiLevelType w:val="hybridMultilevel"/>
    <w:tmpl w:val="65201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147070"/>
    <w:multiLevelType w:val="multilevel"/>
    <w:tmpl w:val="F69EB686"/>
    <w:numStyleLink w:val="NumberedList"/>
  </w:abstractNum>
  <w:abstractNum w:abstractNumId="41"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52669"/>
    <w:multiLevelType w:val="hybridMultilevel"/>
    <w:tmpl w:val="414ED334"/>
    <w:lvl w:ilvl="0" w:tplc="C48CCD3E">
      <w:start w:val="4"/>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39656">
    <w:abstractNumId w:val="29"/>
  </w:num>
  <w:num w:numId="2" w16cid:durableId="46953857">
    <w:abstractNumId w:val="37"/>
  </w:num>
  <w:num w:numId="3" w16cid:durableId="2036038515">
    <w:abstractNumId w:val="18"/>
  </w:num>
  <w:num w:numId="4" w16cid:durableId="735127443">
    <w:abstractNumId w:val="26"/>
  </w:num>
  <w:num w:numId="5" w16cid:durableId="576938724">
    <w:abstractNumId w:val="15"/>
  </w:num>
  <w:num w:numId="6" w16cid:durableId="232546858">
    <w:abstractNumId w:val="9"/>
  </w:num>
  <w:num w:numId="7" w16cid:durableId="1026058964">
    <w:abstractNumId w:val="36"/>
  </w:num>
  <w:num w:numId="8" w16cid:durableId="754667875">
    <w:abstractNumId w:val="14"/>
  </w:num>
  <w:num w:numId="9" w16cid:durableId="697119265">
    <w:abstractNumId w:val="41"/>
  </w:num>
  <w:num w:numId="10" w16cid:durableId="872377655">
    <w:abstractNumId w:val="33"/>
  </w:num>
  <w:num w:numId="11" w16cid:durableId="634799439">
    <w:abstractNumId w:val="4"/>
  </w:num>
  <w:num w:numId="12" w16cid:durableId="1694457951">
    <w:abstractNumId w:val="12"/>
  </w:num>
  <w:num w:numId="13" w16cid:durableId="1683894306">
    <w:abstractNumId w:val="17"/>
  </w:num>
  <w:num w:numId="14" w16cid:durableId="1543134299">
    <w:abstractNumId w:val="25"/>
  </w:num>
  <w:num w:numId="15" w16cid:durableId="296684766">
    <w:abstractNumId w:val="21"/>
  </w:num>
  <w:num w:numId="16" w16cid:durableId="252403161">
    <w:abstractNumId w:val="8"/>
  </w:num>
  <w:num w:numId="17" w16cid:durableId="2140341510">
    <w:abstractNumId w:val="27"/>
  </w:num>
  <w:num w:numId="18" w16cid:durableId="286206759">
    <w:abstractNumId w:val="43"/>
  </w:num>
  <w:num w:numId="19" w16cid:durableId="2089687109">
    <w:abstractNumId w:val="11"/>
  </w:num>
  <w:num w:numId="20" w16cid:durableId="75790332">
    <w:abstractNumId w:val="31"/>
  </w:num>
  <w:num w:numId="21" w16cid:durableId="396783052">
    <w:abstractNumId w:val="13"/>
  </w:num>
  <w:num w:numId="22" w16cid:durableId="1538079126">
    <w:abstractNumId w:val="22"/>
  </w:num>
  <w:num w:numId="23" w16cid:durableId="1213426477">
    <w:abstractNumId w:val="24"/>
  </w:num>
  <w:num w:numId="24" w16cid:durableId="1454204838">
    <w:abstractNumId w:val="20"/>
  </w:num>
  <w:num w:numId="25" w16cid:durableId="1249923958">
    <w:abstractNumId w:val="23"/>
  </w:num>
  <w:num w:numId="26" w16cid:durableId="1881700984">
    <w:abstractNumId w:val="10"/>
  </w:num>
  <w:num w:numId="27" w16cid:durableId="324478174">
    <w:abstractNumId w:val="34"/>
  </w:num>
  <w:num w:numId="28" w16cid:durableId="1055398128">
    <w:abstractNumId w:val="16"/>
  </w:num>
  <w:num w:numId="29" w16cid:durableId="602811525">
    <w:abstractNumId w:val="7"/>
  </w:num>
  <w:num w:numId="30" w16cid:durableId="720593646">
    <w:abstractNumId w:val="19"/>
  </w:num>
  <w:num w:numId="31" w16cid:durableId="126971966">
    <w:abstractNumId w:val="5"/>
  </w:num>
  <w:num w:numId="32" w16cid:durableId="163397592">
    <w:abstractNumId w:val="30"/>
  </w:num>
  <w:num w:numId="33" w16cid:durableId="253125760">
    <w:abstractNumId w:val="32"/>
  </w:num>
  <w:num w:numId="34" w16cid:durableId="1489860772">
    <w:abstractNumId w:val="3"/>
  </w:num>
  <w:num w:numId="35" w16cid:durableId="1037698788">
    <w:abstractNumId w:val="1"/>
  </w:num>
  <w:num w:numId="36" w16cid:durableId="1021126739">
    <w:abstractNumId w:val="2"/>
  </w:num>
  <w:num w:numId="37" w16cid:durableId="898589126">
    <w:abstractNumId w:val="0"/>
  </w:num>
  <w:num w:numId="38" w16cid:durableId="546262600">
    <w:abstractNumId w:val="35"/>
  </w:num>
  <w:num w:numId="39" w16cid:durableId="1293168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01797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65049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21705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19052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3102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14557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3217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8644973">
    <w:abstractNumId w:val="6"/>
  </w:num>
  <w:num w:numId="48" w16cid:durableId="1961453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432313">
    <w:abstractNumId w:val="40"/>
  </w:num>
  <w:num w:numId="50" w16cid:durableId="1227032638">
    <w:abstractNumId w:val="28"/>
  </w:num>
  <w:num w:numId="51" w16cid:durableId="504781151">
    <w:abstractNumId w:val="38"/>
  </w:num>
  <w:num w:numId="52" w16cid:durableId="549921413">
    <w:abstractNumId w:val="39"/>
  </w:num>
  <w:num w:numId="53" w16cid:durableId="101326516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DB"/>
    <w:rsid w:val="0000092E"/>
    <w:rsid w:val="00012A83"/>
    <w:rsid w:val="00017C3C"/>
    <w:rsid w:val="00021F2E"/>
    <w:rsid w:val="00026413"/>
    <w:rsid w:val="00026EAE"/>
    <w:rsid w:val="0003123C"/>
    <w:rsid w:val="00032A10"/>
    <w:rsid w:val="000424AF"/>
    <w:rsid w:val="00043FFE"/>
    <w:rsid w:val="00044074"/>
    <w:rsid w:val="0004430C"/>
    <w:rsid w:val="00045013"/>
    <w:rsid w:val="00046631"/>
    <w:rsid w:val="00061ED2"/>
    <w:rsid w:val="00066138"/>
    <w:rsid w:val="00066DE2"/>
    <w:rsid w:val="00077931"/>
    <w:rsid w:val="00084E91"/>
    <w:rsid w:val="000900B6"/>
    <w:rsid w:val="000A2F9A"/>
    <w:rsid w:val="000A30CD"/>
    <w:rsid w:val="000A649E"/>
    <w:rsid w:val="000A7626"/>
    <w:rsid w:val="000B5DA2"/>
    <w:rsid w:val="000C1C28"/>
    <w:rsid w:val="000C5872"/>
    <w:rsid w:val="000D13D4"/>
    <w:rsid w:val="000D6214"/>
    <w:rsid w:val="000E0979"/>
    <w:rsid w:val="000E1544"/>
    <w:rsid w:val="000E58BF"/>
    <w:rsid w:val="00101384"/>
    <w:rsid w:val="001021B3"/>
    <w:rsid w:val="001155CE"/>
    <w:rsid w:val="001225D9"/>
    <w:rsid w:val="00124370"/>
    <w:rsid w:val="00131C2C"/>
    <w:rsid w:val="0015319E"/>
    <w:rsid w:val="00160392"/>
    <w:rsid w:val="00172A99"/>
    <w:rsid w:val="00184B4D"/>
    <w:rsid w:val="001965F5"/>
    <w:rsid w:val="001A2983"/>
    <w:rsid w:val="001A484E"/>
    <w:rsid w:val="001A5429"/>
    <w:rsid w:val="001A620D"/>
    <w:rsid w:val="001B19D5"/>
    <w:rsid w:val="001C4239"/>
    <w:rsid w:val="001C7366"/>
    <w:rsid w:val="001C7466"/>
    <w:rsid w:val="001D1C22"/>
    <w:rsid w:val="001E0F42"/>
    <w:rsid w:val="001E11F1"/>
    <w:rsid w:val="001E1E58"/>
    <w:rsid w:val="001E5C02"/>
    <w:rsid w:val="001F075C"/>
    <w:rsid w:val="001F2713"/>
    <w:rsid w:val="001F5539"/>
    <w:rsid w:val="00206438"/>
    <w:rsid w:val="00206719"/>
    <w:rsid w:val="002154C2"/>
    <w:rsid w:val="00237AB6"/>
    <w:rsid w:val="00240312"/>
    <w:rsid w:val="0024495F"/>
    <w:rsid w:val="00247B17"/>
    <w:rsid w:val="00252E4A"/>
    <w:rsid w:val="00261DEC"/>
    <w:rsid w:val="002642A8"/>
    <w:rsid w:val="00272980"/>
    <w:rsid w:val="002857CA"/>
    <w:rsid w:val="002955AB"/>
    <w:rsid w:val="002963CA"/>
    <w:rsid w:val="002A137B"/>
    <w:rsid w:val="002A5CB4"/>
    <w:rsid w:val="002B0247"/>
    <w:rsid w:val="002B2F50"/>
    <w:rsid w:val="002C2B46"/>
    <w:rsid w:val="002C54C3"/>
    <w:rsid w:val="002C74E0"/>
    <w:rsid w:val="002F2973"/>
    <w:rsid w:val="002F6728"/>
    <w:rsid w:val="00303A6C"/>
    <w:rsid w:val="0031130D"/>
    <w:rsid w:val="00311A50"/>
    <w:rsid w:val="00314A6F"/>
    <w:rsid w:val="00322833"/>
    <w:rsid w:val="00334394"/>
    <w:rsid w:val="00336F5B"/>
    <w:rsid w:val="00347AF5"/>
    <w:rsid w:val="00360F98"/>
    <w:rsid w:val="00362478"/>
    <w:rsid w:val="003668C5"/>
    <w:rsid w:val="00367CF5"/>
    <w:rsid w:val="00374421"/>
    <w:rsid w:val="003A1203"/>
    <w:rsid w:val="003A720C"/>
    <w:rsid w:val="003B3941"/>
    <w:rsid w:val="003B5758"/>
    <w:rsid w:val="003C067B"/>
    <w:rsid w:val="003C1CAA"/>
    <w:rsid w:val="003C6DC7"/>
    <w:rsid w:val="003C7C41"/>
    <w:rsid w:val="003D59A7"/>
    <w:rsid w:val="003E01CD"/>
    <w:rsid w:val="003E24A1"/>
    <w:rsid w:val="003E2658"/>
    <w:rsid w:val="003E78A7"/>
    <w:rsid w:val="003F0714"/>
    <w:rsid w:val="003F13B0"/>
    <w:rsid w:val="003F5F4A"/>
    <w:rsid w:val="003F72B9"/>
    <w:rsid w:val="00403423"/>
    <w:rsid w:val="0040650A"/>
    <w:rsid w:val="004165AC"/>
    <w:rsid w:val="00420A04"/>
    <w:rsid w:val="004262DD"/>
    <w:rsid w:val="0042646F"/>
    <w:rsid w:val="00435096"/>
    <w:rsid w:val="004411FB"/>
    <w:rsid w:val="00443212"/>
    <w:rsid w:val="004538E3"/>
    <w:rsid w:val="004610E5"/>
    <w:rsid w:val="00471BED"/>
    <w:rsid w:val="00477FCA"/>
    <w:rsid w:val="00493EC0"/>
    <w:rsid w:val="00495909"/>
    <w:rsid w:val="004B5251"/>
    <w:rsid w:val="004C02D9"/>
    <w:rsid w:val="004C0453"/>
    <w:rsid w:val="004C7B3E"/>
    <w:rsid w:val="004E210B"/>
    <w:rsid w:val="004F0C60"/>
    <w:rsid w:val="004F35F1"/>
    <w:rsid w:val="005067B8"/>
    <w:rsid w:val="005116BB"/>
    <w:rsid w:val="00513832"/>
    <w:rsid w:val="00526C37"/>
    <w:rsid w:val="00533047"/>
    <w:rsid w:val="0053526C"/>
    <w:rsid w:val="00540440"/>
    <w:rsid w:val="00540A00"/>
    <w:rsid w:val="00560359"/>
    <w:rsid w:val="00560A30"/>
    <w:rsid w:val="00571A68"/>
    <w:rsid w:val="00577B45"/>
    <w:rsid w:val="005820CB"/>
    <w:rsid w:val="005854DB"/>
    <w:rsid w:val="005919AF"/>
    <w:rsid w:val="005A20E2"/>
    <w:rsid w:val="005B2B13"/>
    <w:rsid w:val="005B59C2"/>
    <w:rsid w:val="005B6A1A"/>
    <w:rsid w:val="005C51B4"/>
    <w:rsid w:val="005C53B3"/>
    <w:rsid w:val="005D143B"/>
    <w:rsid w:val="005D2146"/>
    <w:rsid w:val="005D252B"/>
    <w:rsid w:val="005E1C06"/>
    <w:rsid w:val="005F6388"/>
    <w:rsid w:val="005F70EC"/>
    <w:rsid w:val="00602146"/>
    <w:rsid w:val="00606DAC"/>
    <w:rsid w:val="00611D0E"/>
    <w:rsid w:val="006329E1"/>
    <w:rsid w:val="00633E73"/>
    <w:rsid w:val="00643B4A"/>
    <w:rsid w:val="00655308"/>
    <w:rsid w:val="00664450"/>
    <w:rsid w:val="00671AF6"/>
    <w:rsid w:val="0067294B"/>
    <w:rsid w:val="00685B4E"/>
    <w:rsid w:val="006936EB"/>
    <w:rsid w:val="00693E2D"/>
    <w:rsid w:val="006A138D"/>
    <w:rsid w:val="006B2383"/>
    <w:rsid w:val="006B3679"/>
    <w:rsid w:val="006C62DF"/>
    <w:rsid w:val="006C65ED"/>
    <w:rsid w:val="006C726E"/>
    <w:rsid w:val="006D0144"/>
    <w:rsid w:val="006E3FC8"/>
    <w:rsid w:val="006F38DB"/>
    <w:rsid w:val="00701DE9"/>
    <w:rsid w:val="007157EF"/>
    <w:rsid w:val="00732E7B"/>
    <w:rsid w:val="007339A2"/>
    <w:rsid w:val="00735F78"/>
    <w:rsid w:val="0073670F"/>
    <w:rsid w:val="00740FCE"/>
    <w:rsid w:val="00745F2A"/>
    <w:rsid w:val="00753E67"/>
    <w:rsid w:val="00754ACC"/>
    <w:rsid w:val="00754DE2"/>
    <w:rsid w:val="00760405"/>
    <w:rsid w:val="00765AFE"/>
    <w:rsid w:val="007800C3"/>
    <w:rsid w:val="00780B34"/>
    <w:rsid w:val="00784AB5"/>
    <w:rsid w:val="00792A62"/>
    <w:rsid w:val="007B0D2F"/>
    <w:rsid w:val="007B17C4"/>
    <w:rsid w:val="007B1F5A"/>
    <w:rsid w:val="007B2A21"/>
    <w:rsid w:val="007B3AB6"/>
    <w:rsid w:val="007B5AFF"/>
    <w:rsid w:val="007C136F"/>
    <w:rsid w:val="007C3831"/>
    <w:rsid w:val="007C5AF4"/>
    <w:rsid w:val="007C7CB2"/>
    <w:rsid w:val="007D40E3"/>
    <w:rsid w:val="007D5767"/>
    <w:rsid w:val="007F793B"/>
    <w:rsid w:val="0081236D"/>
    <w:rsid w:val="00813EC8"/>
    <w:rsid w:val="00817F8C"/>
    <w:rsid w:val="008336DE"/>
    <w:rsid w:val="0083428B"/>
    <w:rsid w:val="00853375"/>
    <w:rsid w:val="00853D21"/>
    <w:rsid w:val="00876F99"/>
    <w:rsid w:val="008820B3"/>
    <w:rsid w:val="00886169"/>
    <w:rsid w:val="0089410F"/>
    <w:rsid w:val="008965F6"/>
    <w:rsid w:val="008A2B5E"/>
    <w:rsid w:val="008B56EA"/>
    <w:rsid w:val="008C004F"/>
    <w:rsid w:val="008C093A"/>
    <w:rsid w:val="008D3386"/>
    <w:rsid w:val="008E5B80"/>
    <w:rsid w:val="008F704C"/>
    <w:rsid w:val="0090206C"/>
    <w:rsid w:val="00902998"/>
    <w:rsid w:val="00902C06"/>
    <w:rsid w:val="00912C1B"/>
    <w:rsid w:val="0092125E"/>
    <w:rsid w:val="00924319"/>
    <w:rsid w:val="009355C2"/>
    <w:rsid w:val="0094445B"/>
    <w:rsid w:val="00952A7A"/>
    <w:rsid w:val="00955F80"/>
    <w:rsid w:val="009634A4"/>
    <w:rsid w:val="0096392B"/>
    <w:rsid w:val="00974BF8"/>
    <w:rsid w:val="009A3B33"/>
    <w:rsid w:val="009A45A0"/>
    <w:rsid w:val="009A45E2"/>
    <w:rsid w:val="009B35B5"/>
    <w:rsid w:val="009B4773"/>
    <w:rsid w:val="009C7483"/>
    <w:rsid w:val="009D2556"/>
    <w:rsid w:val="009E3808"/>
    <w:rsid w:val="009E3BA9"/>
    <w:rsid w:val="009E5C19"/>
    <w:rsid w:val="00A10771"/>
    <w:rsid w:val="00A11091"/>
    <w:rsid w:val="00A1465B"/>
    <w:rsid w:val="00A50AD4"/>
    <w:rsid w:val="00A54B5C"/>
    <w:rsid w:val="00A630FD"/>
    <w:rsid w:val="00A64454"/>
    <w:rsid w:val="00A67285"/>
    <w:rsid w:val="00A704AB"/>
    <w:rsid w:val="00A74908"/>
    <w:rsid w:val="00A91213"/>
    <w:rsid w:val="00A960DC"/>
    <w:rsid w:val="00AA029D"/>
    <w:rsid w:val="00AA29B1"/>
    <w:rsid w:val="00AA387F"/>
    <w:rsid w:val="00AA66D7"/>
    <w:rsid w:val="00AC1ACE"/>
    <w:rsid w:val="00AC3653"/>
    <w:rsid w:val="00AC5123"/>
    <w:rsid w:val="00AE0241"/>
    <w:rsid w:val="00AE5008"/>
    <w:rsid w:val="00AE6BD8"/>
    <w:rsid w:val="00AF5A88"/>
    <w:rsid w:val="00AF64B8"/>
    <w:rsid w:val="00B26302"/>
    <w:rsid w:val="00B33C3C"/>
    <w:rsid w:val="00B3601B"/>
    <w:rsid w:val="00B37B3B"/>
    <w:rsid w:val="00B44C47"/>
    <w:rsid w:val="00B57756"/>
    <w:rsid w:val="00B57F4F"/>
    <w:rsid w:val="00B659D9"/>
    <w:rsid w:val="00B71604"/>
    <w:rsid w:val="00B7636D"/>
    <w:rsid w:val="00B80CF1"/>
    <w:rsid w:val="00B82F81"/>
    <w:rsid w:val="00BA2A38"/>
    <w:rsid w:val="00BA31C4"/>
    <w:rsid w:val="00BA5F1E"/>
    <w:rsid w:val="00BB0091"/>
    <w:rsid w:val="00BB02E6"/>
    <w:rsid w:val="00BB4FC8"/>
    <w:rsid w:val="00BD0C60"/>
    <w:rsid w:val="00BE2E1E"/>
    <w:rsid w:val="00BF2BE4"/>
    <w:rsid w:val="00BF5959"/>
    <w:rsid w:val="00C0418F"/>
    <w:rsid w:val="00C139B9"/>
    <w:rsid w:val="00C17BCF"/>
    <w:rsid w:val="00C20E26"/>
    <w:rsid w:val="00C234E2"/>
    <w:rsid w:val="00C3246A"/>
    <w:rsid w:val="00C32908"/>
    <w:rsid w:val="00C35257"/>
    <w:rsid w:val="00C64FF0"/>
    <w:rsid w:val="00C65564"/>
    <w:rsid w:val="00C85D86"/>
    <w:rsid w:val="00C87837"/>
    <w:rsid w:val="00CA61D8"/>
    <w:rsid w:val="00CB2EC0"/>
    <w:rsid w:val="00CD01FD"/>
    <w:rsid w:val="00CD1D98"/>
    <w:rsid w:val="00CF1267"/>
    <w:rsid w:val="00D03FAD"/>
    <w:rsid w:val="00D101A8"/>
    <w:rsid w:val="00D13200"/>
    <w:rsid w:val="00D1487A"/>
    <w:rsid w:val="00D162D4"/>
    <w:rsid w:val="00D20429"/>
    <w:rsid w:val="00D21194"/>
    <w:rsid w:val="00D26769"/>
    <w:rsid w:val="00D27AF8"/>
    <w:rsid w:val="00D32627"/>
    <w:rsid w:val="00D374E4"/>
    <w:rsid w:val="00D41585"/>
    <w:rsid w:val="00D57340"/>
    <w:rsid w:val="00D6543F"/>
    <w:rsid w:val="00D67A23"/>
    <w:rsid w:val="00D74E0C"/>
    <w:rsid w:val="00D752ED"/>
    <w:rsid w:val="00D94688"/>
    <w:rsid w:val="00DB250B"/>
    <w:rsid w:val="00DB5A2E"/>
    <w:rsid w:val="00DC0528"/>
    <w:rsid w:val="00DC1104"/>
    <w:rsid w:val="00DC1BFA"/>
    <w:rsid w:val="00DC7466"/>
    <w:rsid w:val="00DC7C93"/>
    <w:rsid w:val="00DC7E1C"/>
    <w:rsid w:val="00DD470C"/>
    <w:rsid w:val="00DE65A2"/>
    <w:rsid w:val="00DE68D3"/>
    <w:rsid w:val="00DF2DCC"/>
    <w:rsid w:val="00E00F22"/>
    <w:rsid w:val="00E01D0E"/>
    <w:rsid w:val="00E04A1A"/>
    <w:rsid w:val="00E16215"/>
    <w:rsid w:val="00E31650"/>
    <w:rsid w:val="00E35169"/>
    <w:rsid w:val="00E4783D"/>
    <w:rsid w:val="00E53724"/>
    <w:rsid w:val="00E552C8"/>
    <w:rsid w:val="00E653E8"/>
    <w:rsid w:val="00E675B6"/>
    <w:rsid w:val="00E75006"/>
    <w:rsid w:val="00E80A0A"/>
    <w:rsid w:val="00E84350"/>
    <w:rsid w:val="00E85863"/>
    <w:rsid w:val="00E87462"/>
    <w:rsid w:val="00E91808"/>
    <w:rsid w:val="00E91AE4"/>
    <w:rsid w:val="00E94FC2"/>
    <w:rsid w:val="00E96F06"/>
    <w:rsid w:val="00EA431D"/>
    <w:rsid w:val="00EC4BCD"/>
    <w:rsid w:val="00ED210B"/>
    <w:rsid w:val="00EE43D7"/>
    <w:rsid w:val="00EE60FB"/>
    <w:rsid w:val="00EF1730"/>
    <w:rsid w:val="00F217D3"/>
    <w:rsid w:val="00F33F5E"/>
    <w:rsid w:val="00F345F3"/>
    <w:rsid w:val="00F4694F"/>
    <w:rsid w:val="00F60840"/>
    <w:rsid w:val="00F75B86"/>
    <w:rsid w:val="00F75F79"/>
    <w:rsid w:val="00F77933"/>
    <w:rsid w:val="00F8411A"/>
    <w:rsid w:val="00F8488B"/>
    <w:rsid w:val="00FA101B"/>
    <w:rsid w:val="00FA34E0"/>
    <w:rsid w:val="00FB55D6"/>
    <w:rsid w:val="00FC1405"/>
    <w:rsid w:val="00FD4813"/>
    <w:rsid w:val="00FF0913"/>
    <w:rsid w:val="00FF4A3D"/>
    <w:rsid w:val="00FF7EFE"/>
    <w:rsid w:val="0B62485D"/>
    <w:rsid w:val="204482CB"/>
    <w:rsid w:val="233B21D5"/>
    <w:rsid w:val="28B6DC6C"/>
    <w:rsid w:val="31AF14BE"/>
    <w:rsid w:val="3C9E00BD"/>
    <w:rsid w:val="44E1D795"/>
    <w:rsid w:val="46EE37CF"/>
    <w:rsid w:val="57A62341"/>
    <w:rsid w:val="5837EB15"/>
    <w:rsid w:val="596BCE3C"/>
    <w:rsid w:val="6709A8C4"/>
    <w:rsid w:val="6A811642"/>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62341"/>
  <w15:chartTrackingRefBased/>
  <w15:docId w15:val="{C7A93CF8-C77B-4D7A-9B4D-CFD539B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B9"/>
    <w:rPr>
      <w:color w:val="595959" w:themeColor="text1" w:themeTint="A6"/>
      <w:sz w:val="24"/>
    </w:rPr>
  </w:style>
  <w:style w:type="paragraph" w:styleId="Heading1">
    <w:name w:val="heading 1"/>
    <w:basedOn w:val="Normal"/>
    <w:next w:val="Normal"/>
    <w:link w:val="Heading1Char"/>
    <w:uiPriority w:val="9"/>
    <w:qFormat/>
    <w:rsid w:val="00CD01FD"/>
    <w:pPr>
      <w:keepNext/>
      <w:keepLines/>
      <w:spacing w:before="360"/>
      <w:outlineLvl w:val="0"/>
    </w:pPr>
    <w:rPr>
      <w:rFonts w:asciiTheme="majorHAnsi" w:eastAsiaTheme="majorEastAsia" w:hAnsiTheme="majorHAnsi" w:cstheme="majorBidi"/>
      <w:b/>
      <w:color w:val="107082" w:themeColor="accent2"/>
      <w:sz w:val="36"/>
      <w:szCs w:val="32"/>
    </w:rPr>
  </w:style>
  <w:style w:type="paragraph" w:styleId="Heading2">
    <w:name w:val="heading 2"/>
    <w:basedOn w:val="Normal"/>
    <w:next w:val="Normal"/>
    <w:link w:val="Heading2Char"/>
    <w:uiPriority w:val="9"/>
    <w:semiHidden/>
    <w:qFormat/>
    <w:rsid w:val="00664450"/>
    <w:pPr>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285"/>
    <w:pPr>
      <w:tabs>
        <w:tab w:val="center" w:pos="4844"/>
        <w:tab w:val="right" w:pos="9689"/>
      </w:tabs>
      <w:spacing w:before="0" w:after="600"/>
    </w:pPr>
    <w:rPr>
      <w:rFonts w:cstheme="minorHAnsi"/>
      <w:i/>
      <w:color w:val="331D01"/>
    </w:rPr>
  </w:style>
  <w:style w:type="character" w:customStyle="1" w:styleId="HeaderChar">
    <w:name w:val="Header Char"/>
    <w:basedOn w:val="DefaultParagraphFont"/>
    <w:link w:val="Header"/>
    <w:uiPriority w:val="99"/>
    <w:rsid w:val="00A67285"/>
    <w:rPr>
      <w:rFonts w:cstheme="minorHAnsi"/>
      <w:i/>
      <w:color w:val="331D01"/>
      <w:sz w:val="24"/>
    </w:rPr>
  </w:style>
  <w:style w:type="paragraph" w:styleId="Footer">
    <w:name w:val="footer"/>
    <w:basedOn w:val="Normal"/>
    <w:link w:val="FooterChar"/>
    <w:uiPriority w:val="99"/>
    <w:rsid w:val="00F8411A"/>
    <w:pPr>
      <w:pBdr>
        <w:top w:val="single" w:sz="8" w:space="1" w:color="F0CDA1" w:themeColor="accent1"/>
      </w:pBdr>
      <w:tabs>
        <w:tab w:val="right" w:pos="10080"/>
      </w:tabs>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CD01FD"/>
    <w:rPr>
      <w:rFonts w:asciiTheme="majorHAnsi" w:eastAsiaTheme="majorEastAsia" w:hAnsiTheme="majorHAnsi" w:cstheme="majorBidi"/>
      <w:b/>
      <w:color w:val="107082" w:themeColor="accent2"/>
      <w:sz w:val="36"/>
      <w:szCs w:val="32"/>
    </w:rPr>
  </w:style>
  <w:style w:type="paragraph" w:customStyle="1" w:styleId="Default">
    <w:name w:val="Default"/>
    <w:semiHidden/>
    <w:rsid w:val="005D2146"/>
    <w:pPr>
      <w:autoSpaceDE w:val="0"/>
      <w:autoSpaceDN w:val="0"/>
      <w:adjustRightInd w:val="0"/>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qFormat/>
    <w:rsid w:val="00A67285"/>
    <w:rPr>
      <w:rFonts w:asciiTheme="majorHAnsi" w:hAnsiTheme="majorHAnsi"/>
      <w:b/>
      <w:i/>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rPr>
      <w:i/>
      <w:color w:val="595959" w:themeColor="text1" w:themeTint="A6"/>
      <w:sz w:val="24"/>
    </w:rPr>
  </w:style>
  <w:style w:type="paragraph" w:styleId="ListBullet">
    <w:name w:val="List Bullet"/>
    <w:basedOn w:val="Normal"/>
    <w:uiPriority w:val="99"/>
    <w:semiHidden/>
    <w:rsid w:val="0003123C"/>
    <w:pPr>
      <w:numPr>
        <w:numId w:val="16"/>
      </w:numPr>
      <w:spacing w:before="0" w:after="200" w:line="276" w:lineRule="auto"/>
      <w:ind w:left="340" w:hanging="340"/>
    </w:pPr>
  </w:style>
  <w:style w:type="paragraph" w:styleId="ListNumber">
    <w:name w:val="List Number"/>
    <w:basedOn w:val="Normal"/>
    <w:uiPriority w:val="99"/>
    <w:semiHidden/>
    <w:rsid w:val="0096392B"/>
    <w:pPr>
      <w:numPr>
        <w:numId w:val="49"/>
      </w:numPr>
      <w:spacing w:line="271" w:lineRule="auto"/>
    </w:pPr>
    <w:rPr>
      <w:b/>
      <w:color w:val="107082" w:themeColor="accent2"/>
    </w:rPr>
  </w:style>
  <w:style w:type="character" w:styleId="Strong">
    <w:name w:val="Strong"/>
    <w:basedOn w:val="DefaultParagraphFont"/>
    <w:uiPriority w:val="22"/>
    <w:semiHidden/>
    <w:qFormat/>
    <w:rsid w:val="00BA31C4"/>
    <w:rPr>
      <w:b/>
      <w:bCs/>
    </w:rPr>
  </w:style>
  <w:style w:type="character" w:customStyle="1" w:styleId="Bold">
    <w:name w:val="Bold"/>
    <w:uiPriority w:val="1"/>
    <w:semiHidden/>
    <w:qFormat/>
    <w:rsid w:val="00BA31C4"/>
    <w:rPr>
      <w:b/>
      <w:bCs/>
    </w:rPr>
  </w:style>
  <w:style w:type="paragraph" w:styleId="ListBullet2">
    <w:name w:val="List Bullet 2"/>
    <w:basedOn w:val="Normal"/>
    <w:uiPriority w:val="99"/>
    <w:semiHidden/>
    <w:rsid w:val="00D27AF8"/>
    <w:pPr>
      <w:numPr>
        <w:numId w:val="35"/>
      </w:numPr>
      <w:spacing w:before="0"/>
    </w:pPr>
  </w:style>
  <w:style w:type="paragraph" w:customStyle="1" w:styleId="Graphheading1">
    <w:name w:val="Graph heading 1"/>
    <w:basedOn w:val="Normal"/>
    <w:semiHidden/>
    <w:qFormat/>
    <w:rsid w:val="008965F6"/>
    <w:pPr>
      <w:spacing w:after="60"/>
    </w:pPr>
    <w:rPr>
      <w:b/>
      <w:color w:val="054854" w:themeColor="accent3"/>
    </w:rPr>
  </w:style>
  <w:style w:type="paragraph" w:customStyle="1" w:styleId="Graphheading2">
    <w:name w:val="Graph heading 2"/>
    <w:basedOn w:val="Normal"/>
    <w:semiHidden/>
    <w:qFormat/>
    <w:rsid w:val="00664450"/>
    <w:pPr>
      <w:spacing w:after="60"/>
    </w:pPr>
    <w:rPr>
      <w:b/>
      <w:color w:val="F99927" w:themeColor="accent5"/>
    </w:rPr>
  </w:style>
  <w:style w:type="paragraph" w:customStyle="1" w:styleId="Graphheading3">
    <w:name w:val="Graph heading 3"/>
    <w:basedOn w:val="Normal"/>
    <w:semiHidden/>
    <w:qFormat/>
    <w:rsid w:val="00664450"/>
    <w:pPr>
      <w:spacing w:after="60"/>
    </w:pPr>
    <w:rPr>
      <w:b/>
      <w:color w:val="EC7216" w:themeColor="accent6"/>
    </w:rPr>
  </w:style>
  <w:style w:type="paragraph" w:customStyle="1" w:styleId="Graphheading4">
    <w:name w:val="Graph heading 4"/>
    <w:basedOn w:val="Normal"/>
    <w:semiHidden/>
    <w:qFormat/>
    <w:rsid w:val="008965F6"/>
    <w:pPr>
      <w:spacing w:after="60"/>
    </w:pPr>
    <w:rPr>
      <w:b/>
      <w:color w:val="107082" w:themeColor="accent2"/>
    </w:rPr>
  </w:style>
  <w:style w:type="paragraph" w:customStyle="1" w:styleId="Graphbullet">
    <w:name w:val="Graph bullet"/>
    <w:basedOn w:val="Normal"/>
    <w:semiHidden/>
    <w:qFormat/>
    <w:rsid w:val="008965F6"/>
    <w:pPr>
      <w:numPr>
        <w:numId w:val="28"/>
      </w:numPr>
      <w:spacing w:before="0" w:line="216" w:lineRule="auto"/>
      <w:ind w:left="284" w:hanging="284"/>
    </w:pPr>
    <w:rPr>
      <w:sz w:val="20"/>
    </w:rPr>
  </w:style>
  <w:style w:type="paragraph" w:customStyle="1" w:styleId="Graphbullet2">
    <w:name w:val="Graph bullet 2"/>
    <w:basedOn w:val="Normal"/>
    <w:semiHidden/>
    <w:qFormat/>
    <w:rsid w:val="008965F6"/>
    <w:pPr>
      <w:numPr>
        <w:numId w:val="30"/>
      </w:numPr>
      <w:spacing w:before="0" w:line="216" w:lineRule="auto"/>
      <w:ind w:left="284" w:hanging="284"/>
    </w:pPr>
    <w:rPr>
      <w:sz w:val="20"/>
    </w:rPr>
  </w:style>
  <w:style w:type="paragraph" w:customStyle="1" w:styleId="Graphbullet3">
    <w:name w:val="Graph bullet 3"/>
    <w:basedOn w:val="Normal"/>
    <w:semiHidden/>
    <w:qFormat/>
    <w:rsid w:val="008965F6"/>
    <w:pPr>
      <w:numPr>
        <w:numId w:val="29"/>
      </w:numPr>
      <w:spacing w:before="0" w:line="216" w:lineRule="auto"/>
      <w:ind w:left="284" w:hanging="284"/>
    </w:pPr>
    <w:rPr>
      <w:sz w:val="20"/>
    </w:rPr>
  </w:style>
  <w:style w:type="paragraph" w:customStyle="1" w:styleId="Graphbullet4">
    <w:name w:val="Graph bullet 4"/>
    <w:basedOn w:val="Normal"/>
    <w:semiHidden/>
    <w:qFormat/>
    <w:rsid w:val="008965F6"/>
    <w:pPr>
      <w:numPr>
        <w:numId w:val="31"/>
      </w:numPr>
      <w:spacing w:before="0"/>
      <w:ind w:left="284" w:hanging="284"/>
    </w:pPr>
    <w:rPr>
      <w:sz w:val="20"/>
    </w:rPr>
  </w:style>
  <w:style w:type="paragraph" w:customStyle="1" w:styleId="TableTextLarge">
    <w:name w:val="Table Text Large"/>
    <w:basedOn w:val="Normal"/>
    <w:semiHidden/>
    <w:qFormat/>
    <w:rsid w:val="00F77933"/>
    <w:pPr>
      <w:spacing w:before="0"/>
    </w:pPr>
    <w:rPr>
      <w:color w:val="2F2F2F"/>
      <w:sz w:val="18"/>
    </w:rPr>
  </w:style>
  <w:style w:type="paragraph" w:styleId="ListNumber2">
    <w:name w:val="List Number 2"/>
    <w:basedOn w:val="Normal"/>
    <w:uiPriority w:val="99"/>
    <w:semiHidden/>
    <w:rsid w:val="001E0F42"/>
    <w:pPr>
      <w:numPr>
        <w:ilvl w:val="1"/>
        <w:numId w:val="49"/>
      </w:numPr>
      <w:spacing w:before="60" w:line="271" w:lineRule="auto"/>
    </w:pPr>
    <w:rPr>
      <w:color w:val="107082" w:themeColor="accent2"/>
    </w:rPr>
  </w:style>
  <w:style w:type="paragraph" w:customStyle="1" w:styleId="Checkbox">
    <w:name w:val="Checkbox"/>
    <w:basedOn w:val="Normal"/>
    <w:qFormat/>
    <w:rsid w:val="00A67285"/>
    <w:pPr>
      <w:spacing w:before="0"/>
    </w:pPr>
  </w:style>
  <w:style w:type="table" w:customStyle="1" w:styleId="TableGrid1">
    <w:name w:val="Table Grid1"/>
    <w:basedOn w:val="TableNormal"/>
    <w:next w:val="TableGrid"/>
    <w:uiPriority w:val="39"/>
    <w:rsid w:val="00CD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
    <w:name w:val="NumberedList"/>
    <w:uiPriority w:val="99"/>
    <w:rsid w:val="00754ACC"/>
    <w:pPr>
      <w:numPr>
        <w:numId w:val="47"/>
      </w:numPr>
    </w:pPr>
  </w:style>
  <w:style w:type="paragraph" w:customStyle="1" w:styleId="NumberLevel1">
    <w:name w:val="Number Level 1"/>
    <w:basedOn w:val="Normal"/>
    <w:next w:val="Normal"/>
    <w:link w:val="NumberLevel1Char"/>
    <w:qFormat/>
    <w:rsid w:val="00C87837"/>
    <w:rPr>
      <w:b/>
      <w:color w:val="107082" w:themeColor="accent2"/>
    </w:rPr>
  </w:style>
  <w:style w:type="paragraph" w:customStyle="1" w:styleId="NumberLevel2">
    <w:name w:val="Number Level 2"/>
    <w:basedOn w:val="Normal"/>
    <w:next w:val="Normal"/>
    <w:link w:val="NumberLevel2Char"/>
    <w:qFormat/>
    <w:rsid w:val="00311A50"/>
    <w:rPr>
      <w:color w:val="107082" w:themeColor="accent2"/>
    </w:rPr>
  </w:style>
  <w:style w:type="character" w:customStyle="1" w:styleId="NumberLevel1Char">
    <w:name w:val="Number Level 1 Char"/>
    <w:basedOn w:val="DefaultParagraphFont"/>
    <w:link w:val="NumberLevel1"/>
    <w:rsid w:val="00C87837"/>
    <w:rPr>
      <w:b/>
      <w:color w:val="107082" w:themeColor="accent2"/>
      <w:sz w:val="24"/>
    </w:rPr>
  </w:style>
  <w:style w:type="character" w:customStyle="1" w:styleId="NumberLevel2Char">
    <w:name w:val="Number Level 2 Char"/>
    <w:basedOn w:val="DefaultParagraphFont"/>
    <w:link w:val="NumberLevel2"/>
    <w:rsid w:val="00311A50"/>
    <w:rPr>
      <w:color w:val="107082" w:themeColor="accent2"/>
      <w:sz w:val="24"/>
    </w:rPr>
  </w:style>
  <w:style w:type="paragraph" w:styleId="NormalWeb">
    <w:name w:val="Normal (Web)"/>
    <w:basedOn w:val="Normal"/>
    <w:uiPriority w:val="99"/>
    <w:semiHidden/>
    <w:unhideWhenUsed/>
    <w:rsid w:val="00C85D86"/>
    <w:pPr>
      <w:spacing w:before="100" w:beforeAutospacing="1" w:after="100" w:afterAutospacing="1"/>
    </w:pPr>
    <w:rPr>
      <w:rFonts w:ascii="Times New Roman" w:eastAsia="Times New Roman" w:hAnsi="Times New Roman" w:cs="Times New Roman"/>
      <w:color w:val="auto"/>
      <w:szCs w:val="24"/>
    </w:rPr>
  </w:style>
  <w:style w:type="paragraph" w:styleId="Revision">
    <w:name w:val="Revision"/>
    <w:hidden/>
    <w:uiPriority w:val="99"/>
    <w:semiHidden/>
    <w:rsid w:val="00E00F22"/>
    <w:pPr>
      <w:spacing w:before="0"/>
    </w:pPr>
    <w:rPr>
      <w:color w:val="595959" w:themeColor="text1" w:themeTint="A6"/>
      <w:sz w:val="24"/>
    </w:rPr>
  </w:style>
  <w:style w:type="paragraph" w:styleId="CommentText">
    <w:name w:val="annotation text"/>
    <w:basedOn w:val="Normal"/>
    <w:link w:val="CommentTextChar"/>
    <w:uiPriority w:val="99"/>
    <w:unhideWhenUsed/>
    <w:rsid w:val="005067B8"/>
    <w:rPr>
      <w:sz w:val="20"/>
      <w:szCs w:val="20"/>
    </w:rPr>
  </w:style>
  <w:style w:type="character" w:customStyle="1" w:styleId="CommentTextChar">
    <w:name w:val="Comment Text Char"/>
    <w:basedOn w:val="DefaultParagraphFont"/>
    <w:link w:val="CommentText"/>
    <w:uiPriority w:val="99"/>
    <w:rsid w:val="005067B8"/>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5067B8"/>
    <w:rPr>
      <w:b/>
      <w:bCs/>
    </w:rPr>
  </w:style>
  <w:style w:type="character" w:customStyle="1" w:styleId="CommentSubjectChar">
    <w:name w:val="Comment Subject Char"/>
    <w:basedOn w:val="CommentTextChar"/>
    <w:link w:val="CommentSubject"/>
    <w:uiPriority w:val="99"/>
    <w:semiHidden/>
    <w:rsid w:val="005067B8"/>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34171">
      <w:bodyDiv w:val="1"/>
      <w:marLeft w:val="0"/>
      <w:marRight w:val="0"/>
      <w:marTop w:val="0"/>
      <w:marBottom w:val="0"/>
      <w:divBdr>
        <w:top w:val="none" w:sz="0" w:space="0" w:color="auto"/>
        <w:left w:val="none" w:sz="0" w:space="0" w:color="auto"/>
        <w:bottom w:val="none" w:sz="0" w:space="0" w:color="auto"/>
        <w:right w:val="none" w:sz="0" w:space="0" w:color="auto"/>
      </w:divBdr>
    </w:div>
    <w:div w:id="631905831">
      <w:bodyDiv w:val="1"/>
      <w:marLeft w:val="0"/>
      <w:marRight w:val="0"/>
      <w:marTop w:val="0"/>
      <w:marBottom w:val="0"/>
      <w:divBdr>
        <w:top w:val="none" w:sz="0" w:space="0" w:color="auto"/>
        <w:left w:val="none" w:sz="0" w:space="0" w:color="auto"/>
        <w:bottom w:val="none" w:sz="0" w:space="0" w:color="auto"/>
        <w:right w:val="none" w:sz="0" w:space="0" w:color="auto"/>
      </w:divBdr>
    </w:div>
    <w:div w:id="178993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4" ma:contentTypeDescription="Create a new document." ma:contentTypeScope="" ma:versionID="e1ddc4fc94ddae01136e5297f1525679">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cd6a06a6405723f8a730cac1f3b8457e"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86afe6-2814-4cb5-92c4-af72f2aea325" xsi:nil="true"/>
    <lcf76f155ced4ddcb4097134ff3c332f xmlns="4ba18ff1-9148-4a63-9bb5-69bf1f8721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21AA6-7079-4738-9E79-298AA1687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4ba18ff1-9148-4a63-9bb5-69bf1f87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CC2D3-B2FC-493F-B31E-D5BF739712BD}">
  <ds:schemaRefs>
    <ds:schemaRef ds:uri="http://schemas.microsoft.com/office/2006/metadata/properties"/>
    <ds:schemaRef ds:uri="http://schemas.microsoft.com/office/infopath/2007/PartnerControls"/>
    <ds:schemaRef ds:uri="0586afe6-2814-4cb5-92c4-af72f2aea325"/>
    <ds:schemaRef ds:uri="4ba18ff1-9148-4a63-9bb5-69bf1f8721d3"/>
  </ds:schemaRefs>
</ds:datastoreItem>
</file>

<file path=customXml/itemProps3.xml><?xml version="1.0" encoding="utf-8"?>
<ds:datastoreItem xmlns:ds="http://schemas.openxmlformats.org/officeDocument/2006/customXml" ds:itemID="{0268EBF1-10C5-4731-85D7-2ED79AB899D9}">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TotalTime>
  <Pages>3</Pages>
  <Words>945</Words>
  <Characters>5338</Characters>
  <Application>Microsoft Office Word</Application>
  <DocSecurity>0</DocSecurity>
  <Lines>110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Hummel</dc:creator>
  <cp:keywords/>
  <dc:description/>
  <cp:lastModifiedBy>Erica Mito</cp:lastModifiedBy>
  <cp:revision>5</cp:revision>
  <dcterms:created xsi:type="dcterms:W3CDTF">2024-05-23T15:07:00Z</dcterms:created>
  <dcterms:modified xsi:type="dcterms:W3CDTF">2024-05-23T15:09:00Z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y fmtid="{D5CDD505-2E9C-101B-9397-08002B2CF9AE}" pid="3" name="GrammarlyDocumentId">
    <vt:lpwstr>dc01b3145969d334e81d63d7f111020bb85ee5febc0fd75672c59a25f25e5c90</vt:lpwstr>
  </property>
  <property fmtid="{D5CDD505-2E9C-101B-9397-08002B2CF9AE}" pid="4" name="MediaServiceImageTags">
    <vt:lpwstr/>
  </property>
</Properties>
</file>